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7B3D6">
      <w:pPr>
        <w:pStyle w:val="17"/>
        <w:spacing w:before="75" w:beforeAutospacing="0" w:after="75" w:afterAutospacing="0"/>
        <w:jc w:val="center"/>
        <w:rPr>
          <w:rStyle w:val="23"/>
          <w:rFonts w:hint="eastAsia"/>
          <w:color w:val="auto"/>
          <w:sz w:val="32"/>
          <w:szCs w:val="32"/>
          <w:highlight w:val="none"/>
          <w:lang w:eastAsia="zh-CN"/>
        </w:rPr>
      </w:pPr>
    </w:p>
    <w:p w14:paraId="4F1BF22D">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23"/>
          <w:rFonts w:hint="eastAsia" w:cs="宋体"/>
          <w:bCs/>
          <w:color w:val="auto"/>
          <w:sz w:val="60"/>
          <w:szCs w:val="60"/>
          <w:shd w:val="clear" w:color="auto" w:fill="FFFFFF"/>
          <w:lang w:eastAsia="zh-CN"/>
        </w:rPr>
      </w:pPr>
    </w:p>
    <w:p w14:paraId="0F155FAF">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rPr>
          <w:rStyle w:val="23"/>
          <w:rFonts w:hint="eastAsia" w:ascii="宋体" w:hAnsi="宋体" w:eastAsia="宋体" w:cs="宋体"/>
          <w:bCs/>
          <w:color w:val="auto"/>
          <w:sz w:val="60"/>
          <w:szCs w:val="60"/>
          <w:shd w:val="clear" w:color="auto" w:fill="FFFFFF"/>
          <w:lang w:eastAsia="zh-CN"/>
        </w:rPr>
      </w:pPr>
      <w:r>
        <w:rPr>
          <w:rStyle w:val="23"/>
          <w:rFonts w:hint="eastAsia" w:cs="宋体"/>
          <w:bCs/>
          <w:color w:val="auto"/>
          <w:sz w:val="60"/>
          <w:szCs w:val="60"/>
          <w:shd w:val="clear" w:color="auto" w:fill="FFFFFF"/>
          <w:lang w:eastAsia="zh-CN"/>
        </w:rPr>
        <w:t>福建宏达机械有限公司</w:t>
      </w:r>
    </w:p>
    <w:p w14:paraId="4E423FAB">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23"/>
          <w:rFonts w:hint="eastAsia" w:ascii="宋体" w:hAnsi="宋体" w:eastAsia="宋体" w:cs="宋体"/>
          <w:bCs/>
          <w:color w:val="auto"/>
          <w:sz w:val="60"/>
          <w:szCs w:val="60"/>
          <w:shd w:val="clear" w:color="auto" w:fill="FFFFFF"/>
        </w:rPr>
      </w:pPr>
      <w:r>
        <w:rPr>
          <w:rStyle w:val="23"/>
          <w:rFonts w:hint="eastAsia" w:ascii="宋体" w:hAnsi="宋体" w:eastAsia="宋体" w:cs="宋体"/>
          <w:bCs/>
          <w:color w:val="auto"/>
          <w:sz w:val="60"/>
          <w:szCs w:val="60"/>
          <w:shd w:val="clear" w:color="auto" w:fill="FFFFFF"/>
          <w:lang w:eastAsia="zh-CN"/>
        </w:rPr>
        <w:t>食堂服务外包项目</w:t>
      </w:r>
    </w:p>
    <w:p w14:paraId="339948A8">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Style w:val="23"/>
          <w:rFonts w:hint="eastAsia" w:ascii="宋体" w:hAnsi="宋体" w:eastAsia="宋体" w:cs="宋体"/>
          <w:bCs/>
          <w:color w:val="auto"/>
          <w:sz w:val="60"/>
          <w:szCs w:val="60"/>
          <w:shd w:val="clear" w:color="auto" w:fill="FFFFFF"/>
        </w:rPr>
      </w:pPr>
      <w:r>
        <w:rPr>
          <w:rStyle w:val="23"/>
          <w:rFonts w:hint="eastAsia" w:ascii="宋体" w:hAnsi="宋体" w:eastAsia="宋体" w:cs="宋体"/>
          <w:bCs/>
          <w:color w:val="auto"/>
          <w:sz w:val="60"/>
          <w:szCs w:val="60"/>
          <w:shd w:val="clear" w:color="auto" w:fill="FFFFFF"/>
        </w:rPr>
        <w:t>公开招标文件</w:t>
      </w:r>
    </w:p>
    <w:p w14:paraId="4E711531">
      <w:pPr>
        <w:pStyle w:val="17"/>
        <w:spacing w:before="75" w:beforeAutospacing="0" w:after="75" w:afterAutospacing="0"/>
        <w:jc w:val="center"/>
        <w:rPr>
          <w:rStyle w:val="23"/>
          <w:color w:val="auto"/>
          <w:sz w:val="36"/>
          <w:szCs w:val="36"/>
          <w:highlight w:val="none"/>
        </w:rPr>
      </w:pPr>
      <w:r>
        <w:rPr>
          <w:rStyle w:val="23"/>
          <w:rFonts w:hint="eastAsia"/>
          <w:color w:val="auto"/>
          <w:sz w:val="36"/>
          <w:szCs w:val="36"/>
          <w:highlight w:val="none"/>
        </w:rPr>
        <w:t>预公告稿件</w:t>
      </w:r>
    </w:p>
    <w:p w14:paraId="52673705">
      <w:pPr>
        <w:pStyle w:val="17"/>
        <w:spacing w:before="75" w:beforeAutospacing="0" w:after="75" w:afterAutospacing="0" w:line="360" w:lineRule="auto"/>
        <w:ind w:firstLine="2108" w:firstLineChars="700"/>
        <w:jc w:val="center"/>
        <w:rPr>
          <w:rStyle w:val="23"/>
          <w:color w:val="auto"/>
          <w:sz w:val="30"/>
          <w:szCs w:val="30"/>
          <w:highlight w:val="none"/>
        </w:rPr>
      </w:pPr>
    </w:p>
    <w:p w14:paraId="27C379AE">
      <w:pPr>
        <w:pStyle w:val="17"/>
        <w:spacing w:before="75" w:beforeAutospacing="0" w:after="75" w:afterAutospacing="0" w:line="480" w:lineRule="auto"/>
        <w:jc w:val="center"/>
        <w:rPr>
          <w:rStyle w:val="23"/>
          <w:rFonts w:hint="eastAsia" w:eastAsia="宋体"/>
          <w:color w:val="auto"/>
          <w:sz w:val="30"/>
          <w:szCs w:val="30"/>
          <w:highlight w:val="none"/>
          <w:lang w:eastAsia="zh-CN"/>
        </w:rPr>
      </w:pPr>
      <w:r>
        <w:rPr>
          <w:rStyle w:val="23"/>
          <w:rFonts w:hint="eastAsia"/>
          <w:color w:val="auto"/>
          <w:sz w:val="30"/>
          <w:szCs w:val="30"/>
          <w:highlight w:val="none"/>
          <w:lang w:eastAsia="zh-CN"/>
        </w:rPr>
        <w:t>项目编号</w:t>
      </w:r>
      <w:r>
        <w:rPr>
          <w:rStyle w:val="23"/>
          <w:rFonts w:hint="eastAsia"/>
          <w:color w:val="auto"/>
          <w:sz w:val="30"/>
          <w:szCs w:val="30"/>
          <w:highlight w:val="none"/>
        </w:rPr>
        <w:t>：</w:t>
      </w:r>
      <w:r>
        <w:rPr>
          <w:rStyle w:val="23"/>
          <w:rFonts w:hint="eastAsia"/>
          <w:color w:val="auto"/>
          <w:sz w:val="30"/>
          <w:szCs w:val="30"/>
          <w:highlight w:val="none"/>
          <w:lang w:eastAsia="zh-CN"/>
        </w:rPr>
        <w:t>FJHR2025070</w:t>
      </w:r>
    </w:p>
    <w:p w14:paraId="29DA337A">
      <w:pPr>
        <w:pStyle w:val="17"/>
        <w:spacing w:before="75" w:beforeAutospacing="0" w:after="75" w:afterAutospacing="0" w:line="480" w:lineRule="auto"/>
        <w:jc w:val="center"/>
        <w:rPr>
          <w:rStyle w:val="23"/>
          <w:rFonts w:hint="eastAsia" w:eastAsia="宋体"/>
          <w:color w:val="auto"/>
          <w:sz w:val="30"/>
          <w:szCs w:val="30"/>
          <w:highlight w:val="none"/>
          <w:lang w:eastAsia="zh-CN"/>
        </w:rPr>
      </w:pPr>
      <w:r>
        <w:rPr>
          <w:rStyle w:val="23"/>
          <w:rFonts w:hint="eastAsia"/>
          <w:color w:val="auto"/>
          <w:sz w:val="30"/>
          <w:szCs w:val="30"/>
          <w:highlight w:val="none"/>
        </w:rPr>
        <w:t>项目名称：</w:t>
      </w:r>
      <w:r>
        <w:rPr>
          <w:rStyle w:val="23"/>
          <w:rFonts w:hint="eastAsia"/>
          <w:color w:val="auto"/>
          <w:sz w:val="30"/>
          <w:szCs w:val="30"/>
          <w:highlight w:val="none"/>
          <w:lang w:eastAsia="zh-CN"/>
        </w:rPr>
        <w:t>食堂服务外包项目</w:t>
      </w:r>
    </w:p>
    <w:p w14:paraId="6451B186">
      <w:pPr>
        <w:pStyle w:val="17"/>
        <w:spacing w:before="75" w:beforeAutospacing="0" w:after="75" w:afterAutospacing="0" w:line="480" w:lineRule="auto"/>
        <w:ind w:firstLine="1687" w:firstLineChars="600"/>
        <w:rPr>
          <w:rStyle w:val="23"/>
          <w:color w:val="auto"/>
          <w:sz w:val="28"/>
          <w:szCs w:val="28"/>
          <w:highlight w:val="none"/>
        </w:rPr>
      </w:pPr>
    </w:p>
    <w:p w14:paraId="506EE6F1">
      <w:pPr>
        <w:pStyle w:val="17"/>
        <w:spacing w:before="75" w:beforeAutospacing="0" w:after="75" w:afterAutospacing="0" w:line="480" w:lineRule="auto"/>
        <w:ind w:firstLine="1687" w:firstLineChars="600"/>
        <w:rPr>
          <w:rStyle w:val="23"/>
          <w:color w:val="auto"/>
          <w:sz w:val="28"/>
          <w:szCs w:val="28"/>
          <w:highlight w:val="none"/>
        </w:rPr>
      </w:pPr>
    </w:p>
    <w:p w14:paraId="0A18CE7A">
      <w:pPr>
        <w:pStyle w:val="17"/>
        <w:spacing w:before="75" w:beforeAutospacing="0" w:after="75" w:afterAutospacing="0" w:line="480" w:lineRule="auto"/>
        <w:jc w:val="center"/>
        <w:rPr>
          <w:rStyle w:val="23"/>
          <w:rFonts w:hint="eastAsia"/>
          <w:color w:val="auto"/>
          <w:sz w:val="28"/>
          <w:szCs w:val="28"/>
          <w:highlight w:val="none"/>
          <w:lang w:val="en-US" w:eastAsia="zh-CN"/>
        </w:rPr>
      </w:pPr>
      <w:r>
        <w:rPr>
          <w:rStyle w:val="23"/>
          <w:rFonts w:hint="eastAsia"/>
          <w:color w:val="auto"/>
          <w:sz w:val="28"/>
          <w:szCs w:val="28"/>
          <w:highlight w:val="none"/>
          <w:lang w:val="en-US" w:eastAsia="zh-CN"/>
        </w:rPr>
        <w:t xml:space="preserve">  </w:t>
      </w:r>
    </w:p>
    <w:p w14:paraId="58A2A032">
      <w:pPr>
        <w:pStyle w:val="17"/>
        <w:spacing w:before="75" w:beforeAutospacing="0" w:after="75" w:afterAutospacing="0" w:line="360" w:lineRule="auto"/>
        <w:jc w:val="center"/>
        <w:rPr>
          <w:rStyle w:val="23"/>
          <w:rFonts w:hint="eastAsia" w:eastAsia="宋体"/>
          <w:color w:val="auto"/>
          <w:sz w:val="28"/>
          <w:szCs w:val="28"/>
          <w:highlight w:val="none"/>
          <w:lang w:eastAsia="zh-CN"/>
        </w:rPr>
      </w:pPr>
      <w:r>
        <w:rPr>
          <w:rStyle w:val="23"/>
          <w:rFonts w:hint="eastAsia"/>
          <w:color w:val="auto"/>
          <w:sz w:val="28"/>
          <w:szCs w:val="28"/>
          <w:highlight w:val="none"/>
          <w:lang w:val="en-US" w:eastAsia="zh-CN"/>
        </w:rPr>
        <w:t xml:space="preserve">   </w:t>
      </w:r>
      <w:r>
        <w:rPr>
          <w:rStyle w:val="23"/>
          <w:rFonts w:hint="eastAsia"/>
          <w:color w:val="auto"/>
          <w:sz w:val="28"/>
          <w:szCs w:val="28"/>
          <w:highlight w:val="none"/>
        </w:rPr>
        <w:t>招标人：</w:t>
      </w:r>
      <w:r>
        <w:rPr>
          <w:rStyle w:val="23"/>
          <w:rFonts w:hint="eastAsia"/>
          <w:color w:val="auto"/>
          <w:sz w:val="28"/>
          <w:szCs w:val="28"/>
          <w:highlight w:val="none"/>
          <w:lang w:eastAsia="zh-CN"/>
        </w:rPr>
        <w:t>福建宏达机械有限公司</w:t>
      </w:r>
    </w:p>
    <w:p w14:paraId="388DD054">
      <w:pPr>
        <w:pStyle w:val="17"/>
        <w:spacing w:before="75" w:beforeAutospacing="0" w:after="75" w:afterAutospacing="0" w:line="360" w:lineRule="auto"/>
        <w:ind w:firstLine="2530" w:firstLineChars="900"/>
        <w:rPr>
          <w:color w:val="auto"/>
          <w:highlight w:val="none"/>
        </w:rPr>
      </w:pPr>
      <w:r>
        <w:rPr>
          <w:rStyle w:val="23"/>
          <w:rFonts w:hint="eastAsia"/>
          <w:color w:val="auto"/>
          <w:sz w:val="28"/>
          <w:szCs w:val="28"/>
          <w:highlight w:val="none"/>
        </w:rPr>
        <w:t>代理机构：福建省宏瑞招标代理有限公司</w:t>
      </w:r>
    </w:p>
    <w:p w14:paraId="3A3277C8">
      <w:pPr>
        <w:pStyle w:val="17"/>
        <w:spacing w:before="75" w:beforeAutospacing="0" w:after="75" w:afterAutospacing="0" w:line="360" w:lineRule="auto"/>
        <w:ind w:right="720"/>
        <w:jc w:val="center"/>
        <w:rPr>
          <w:color w:val="auto"/>
          <w:highlight w:val="none"/>
        </w:rPr>
      </w:pPr>
      <w:r>
        <w:rPr>
          <w:rStyle w:val="23"/>
          <w:rFonts w:hint="eastAsia"/>
          <w:color w:val="auto"/>
          <w:sz w:val="28"/>
          <w:szCs w:val="28"/>
          <w:highlight w:val="none"/>
          <w:lang w:val="en-US" w:eastAsia="zh-CN"/>
        </w:rPr>
        <w:t xml:space="preserve">       </w:t>
      </w:r>
      <w:r>
        <w:rPr>
          <w:rStyle w:val="23"/>
          <w:rFonts w:hint="eastAsia"/>
          <w:color w:val="auto"/>
          <w:sz w:val="28"/>
          <w:szCs w:val="28"/>
          <w:highlight w:val="none"/>
        </w:rPr>
        <w:t>20</w:t>
      </w:r>
      <w:r>
        <w:rPr>
          <w:rStyle w:val="23"/>
          <w:rFonts w:hint="eastAsia"/>
          <w:color w:val="auto"/>
          <w:sz w:val="28"/>
          <w:szCs w:val="28"/>
          <w:highlight w:val="none"/>
          <w:lang w:val="en-US" w:eastAsia="zh-CN"/>
        </w:rPr>
        <w:t>25</w:t>
      </w:r>
      <w:r>
        <w:rPr>
          <w:rStyle w:val="23"/>
          <w:rFonts w:hint="eastAsia"/>
          <w:color w:val="auto"/>
          <w:sz w:val="28"/>
          <w:szCs w:val="28"/>
          <w:highlight w:val="none"/>
        </w:rPr>
        <w:t>年</w:t>
      </w:r>
      <w:r>
        <w:rPr>
          <w:rStyle w:val="23"/>
          <w:rFonts w:hint="eastAsia"/>
          <w:color w:val="auto"/>
          <w:sz w:val="28"/>
          <w:szCs w:val="28"/>
          <w:highlight w:val="none"/>
          <w:lang w:val="en-US" w:eastAsia="zh-CN"/>
        </w:rPr>
        <w:t>6</w:t>
      </w:r>
      <w:r>
        <w:rPr>
          <w:rStyle w:val="23"/>
          <w:rFonts w:hint="eastAsia"/>
          <w:color w:val="auto"/>
          <w:sz w:val="28"/>
          <w:szCs w:val="28"/>
          <w:highlight w:val="none"/>
        </w:rPr>
        <w:t>月</w:t>
      </w:r>
    </w:p>
    <w:p w14:paraId="5F6E6902">
      <w:pPr>
        <w:spacing w:line="480" w:lineRule="exact"/>
        <w:jc w:val="center"/>
        <w:rPr>
          <w:rFonts w:ascii="宋体" w:hAnsi="宋体"/>
          <w:b/>
          <w:bCs/>
          <w:color w:val="auto"/>
          <w:sz w:val="44"/>
          <w:highlight w:val="none"/>
        </w:rPr>
      </w:pPr>
    </w:p>
    <w:p w14:paraId="0846FB44">
      <w:pPr>
        <w:spacing w:line="480" w:lineRule="exact"/>
        <w:jc w:val="center"/>
        <w:rPr>
          <w:rFonts w:hint="eastAsia" w:ascii="宋体" w:hAnsi="宋体"/>
          <w:b/>
          <w:bCs/>
          <w:color w:val="auto"/>
          <w:sz w:val="44"/>
          <w:highlight w:val="none"/>
        </w:rPr>
      </w:pPr>
    </w:p>
    <w:p w14:paraId="426AA9A2">
      <w:pPr>
        <w:spacing w:line="480" w:lineRule="exact"/>
        <w:jc w:val="center"/>
        <w:rPr>
          <w:rFonts w:hint="eastAsia" w:ascii="宋体" w:hAnsi="宋体"/>
          <w:b/>
          <w:bCs/>
          <w:color w:val="auto"/>
          <w:sz w:val="44"/>
          <w:highlight w:val="none"/>
        </w:rPr>
      </w:pPr>
    </w:p>
    <w:p w14:paraId="2BBB0919">
      <w:pPr>
        <w:spacing w:line="480" w:lineRule="exact"/>
        <w:jc w:val="center"/>
        <w:rPr>
          <w:rFonts w:hint="eastAsia" w:ascii="宋体" w:hAnsi="宋体"/>
          <w:b/>
          <w:bCs/>
          <w:color w:val="auto"/>
          <w:sz w:val="44"/>
          <w:highlight w:val="none"/>
        </w:rPr>
      </w:pPr>
    </w:p>
    <w:p w14:paraId="12448360">
      <w:pPr>
        <w:spacing w:line="480" w:lineRule="exact"/>
        <w:jc w:val="center"/>
        <w:rPr>
          <w:rFonts w:hint="eastAsia" w:ascii="宋体" w:hAnsi="宋体"/>
          <w:b/>
          <w:bCs/>
          <w:color w:val="auto"/>
          <w:sz w:val="44"/>
          <w:highlight w:val="none"/>
        </w:rPr>
      </w:pPr>
    </w:p>
    <w:p w14:paraId="633DDFC7">
      <w:pPr>
        <w:spacing w:line="480" w:lineRule="exact"/>
        <w:jc w:val="center"/>
        <w:rPr>
          <w:rFonts w:hint="eastAsia" w:ascii="宋体" w:hAnsi="宋体"/>
          <w:b/>
          <w:bCs/>
          <w:color w:val="auto"/>
          <w:sz w:val="44"/>
          <w:highlight w:val="none"/>
        </w:rPr>
      </w:pPr>
    </w:p>
    <w:p w14:paraId="65CB7DFC">
      <w:pPr>
        <w:spacing w:line="480" w:lineRule="exact"/>
        <w:jc w:val="center"/>
        <w:rPr>
          <w:rFonts w:hint="eastAsia" w:ascii="宋体" w:hAnsi="宋体"/>
          <w:b/>
          <w:bCs/>
          <w:color w:val="auto"/>
          <w:sz w:val="44"/>
          <w:highlight w:val="none"/>
        </w:rPr>
      </w:pPr>
    </w:p>
    <w:p w14:paraId="257021EC">
      <w:pPr>
        <w:spacing w:line="480" w:lineRule="exact"/>
        <w:jc w:val="center"/>
        <w:rPr>
          <w:rFonts w:ascii="宋体" w:hAnsi="宋体"/>
          <w:b/>
          <w:bCs/>
          <w:color w:val="auto"/>
          <w:sz w:val="44"/>
          <w:highlight w:val="none"/>
        </w:rPr>
      </w:pPr>
      <w:r>
        <w:rPr>
          <w:rFonts w:hint="eastAsia" w:ascii="宋体" w:hAnsi="宋体"/>
          <w:b/>
          <w:bCs/>
          <w:color w:val="auto"/>
          <w:sz w:val="44"/>
          <w:highlight w:val="none"/>
        </w:rPr>
        <w:t>目  录</w:t>
      </w:r>
    </w:p>
    <w:p w14:paraId="79DB9BB9">
      <w:pPr>
        <w:spacing w:line="480" w:lineRule="exact"/>
        <w:jc w:val="center"/>
        <w:rPr>
          <w:rFonts w:ascii="宋体" w:hAnsi="宋体"/>
          <w:b/>
          <w:bCs/>
          <w:color w:val="auto"/>
          <w:sz w:val="44"/>
          <w:highlight w:val="none"/>
        </w:rPr>
      </w:pPr>
    </w:p>
    <w:p w14:paraId="63A58576">
      <w:pPr>
        <w:pStyle w:val="15"/>
        <w:tabs>
          <w:tab w:val="right" w:leader="dot" w:pos="9639"/>
          <w:tab w:val="clear" w:pos="735"/>
          <w:tab w:val="clear" w:pos="9530"/>
        </w:tabs>
      </w:pPr>
      <w:r>
        <w:rPr>
          <w:rFonts w:ascii="宋体" w:hAnsi="宋体"/>
          <w:color w:val="auto"/>
          <w:szCs w:val="21"/>
          <w:highlight w:val="none"/>
        </w:rPr>
        <w:fldChar w:fldCharType="begin"/>
      </w:r>
      <w:r>
        <w:rPr>
          <w:rFonts w:hint="eastAsia" w:ascii="宋体" w:hAnsi="宋体"/>
          <w:color w:val="auto"/>
          <w:szCs w:val="21"/>
          <w:highlight w:val="none"/>
        </w:rPr>
        <w:instrText xml:space="preserve">TOC \o "1-3" \h \z \u</w:instrText>
      </w:r>
      <w:r>
        <w:rPr>
          <w:rFonts w:ascii="宋体" w:hAnsi="宋体"/>
          <w:color w:val="auto"/>
          <w:szCs w:val="21"/>
          <w:highlight w:val="none"/>
        </w:rPr>
        <w:fldChar w:fldCharType="separate"/>
      </w:r>
      <w:r>
        <w:rPr>
          <w:rFonts w:ascii="宋体" w:hAnsi="宋体"/>
          <w:color w:val="auto"/>
          <w:szCs w:val="21"/>
          <w:highlight w:val="none"/>
        </w:rPr>
        <w:fldChar w:fldCharType="begin"/>
      </w:r>
      <w:r>
        <w:rPr>
          <w:rFonts w:ascii="宋体" w:hAnsi="宋体"/>
          <w:szCs w:val="21"/>
          <w:highlight w:val="none"/>
        </w:rPr>
        <w:instrText xml:space="preserve"> HYPERLINK \l _Toc14304 </w:instrText>
      </w:r>
      <w:r>
        <w:rPr>
          <w:rFonts w:ascii="宋体" w:hAnsi="宋体"/>
          <w:szCs w:val="21"/>
          <w:highlight w:val="none"/>
        </w:rPr>
        <w:fldChar w:fldCharType="separate"/>
      </w:r>
      <w:r>
        <w:rPr>
          <w:rFonts w:hint="eastAsia" w:hAnsi="宋体"/>
          <w:szCs w:val="36"/>
          <w:highlight w:val="none"/>
        </w:rPr>
        <w:t xml:space="preserve">第一章  </w:t>
      </w:r>
      <w:r>
        <w:rPr>
          <w:rFonts w:hint="eastAsia" w:hAnsi="宋体"/>
          <w:highlight w:val="none"/>
        </w:rPr>
        <w:t>投标邀请</w:t>
      </w:r>
      <w:r>
        <w:tab/>
      </w:r>
      <w:r>
        <w:fldChar w:fldCharType="begin"/>
      </w:r>
      <w:r>
        <w:instrText xml:space="preserve"> PAGEREF _Toc14304 \h </w:instrText>
      </w:r>
      <w:r>
        <w:fldChar w:fldCharType="separate"/>
      </w:r>
      <w:r>
        <w:t>1</w:t>
      </w:r>
      <w:r>
        <w:fldChar w:fldCharType="end"/>
      </w:r>
      <w:r>
        <w:rPr>
          <w:rFonts w:ascii="宋体" w:hAnsi="宋体"/>
          <w:color w:val="auto"/>
          <w:szCs w:val="21"/>
          <w:highlight w:val="none"/>
        </w:rPr>
        <w:fldChar w:fldCharType="end"/>
      </w:r>
    </w:p>
    <w:p w14:paraId="6F749A11">
      <w:pPr>
        <w:pStyle w:val="15"/>
        <w:tabs>
          <w:tab w:val="right" w:leader="dot" w:pos="9639"/>
          <w:tab w:val="clear" w:pos="735"/>
          <w:tab w:val="clear" w:pos="9530"/>
        </w:tabs>
      </w:pPr>
      <w:r>
        <w:rPr>
          <w:rFonts w:ascii="宋体" w:hAnsi="宋体"/>
          <w:color w:val="auto"/>
          <w:szCs w:val="21"/>
          <w:highlight w:val="none"/>
        </w:rPr>
        <w:fldChar w:fldCharType="begin"/>
      </w:r>
      <w:r>
        <w:rPr>
          <w:rFonts w:ascii="宋体" w:hAnsi="宋体"/>
          <w:szCs w:val="21"/>
          <w:highlight w:val="none"/>
        </w:rPr>
        <w:instrText xml:space="preserve"> HYPERLINK \l _Toc8962 </w:instrText>
      </w:r>
      <w:r>
        <w:rPr>
          <w:rFonts w:ascii="宋体" w:hAnsi="宋体"/>
          <w:szCs w:val="21"/>
          <w:highlight w:val="none"/>
        </w:rPr>
        <w:fldChar w:fldCharType="separate"/>
      </w:r>
      <w:r>
        <w:rPr>
          <w:rFonts w:hint="eastAsia" w:hAnsi="宋体"/>
          <w:highlight w:val="none"/>
        </w:rPr>
        <w:t>第二章  投标人须知</w:t>
      </w:r>
      <w:r>
        <w:tab/>
      </w:r>
      <w:r>
        <w:fldChar w:fldCharType="begin"/>
      </w:r>
      <w:r>
        <w:instrText xml:space="preserve"> PAGEREF _Toc8962 \h </w:instrText>
      </w:r>
      <w:r>
        <w:fldChar w:fldCharType="separate"/>
      </w:r>
      <w:r>
        <w:t>3</w:t>
      </w:r>
      <w:r>
        <w:fldChar w:fldCharType="end"/>
      </w:r>
      <w:r>
        <w:rPr>
          <w:rFonts w:ascii="宋体" w:hAnsi="宋体"/>
          <w:color w:val="auto"/>
          <w:szCs w:val="21"/>
          <w:highlight w:val="none"/>
        </w:rPr>
        <w:fldChar w:fldCharType="end"/>
      </w:r>
    </w:p>
    <w:p w14:paraId="5BDFA8E3">
      <w:pPr>
        <w:pStyle w:val="15"/>
        <w:tabs>
          <w:tab w:val="right" w:leader="dot" w:pos="9639"/>
          <w:tab w:val="clear" w:pos="735"/>
          <w:tab w:val="clear" w:pos="9530"/>
        </w:tabs>
      </w:pPr>
      <w:r>
        <w:rPr>
          <w:rFonts w:ascii="宋体" w:hAnsi="宋体"/>
          <w:color w:val="auto"/>
          <w:szCs w:val="21"/>
          <w:highlight w:val="none"/>
        </w:rPr>
        <w:fldChar w:fldCharType="begin"/>
      </w:r>
      <w:r>
        <w:rPr>
          <w:rFonts w:ascii="宋体" w:hAnsi="宋体"/>
          <w:szCs w:val="21"/>
          <w:highlight w:val="none"/>
        </w:rPr>
        <w:instrText xml:space="preserve"> HYPERLINK \l _Toc12913 </w:instrText>
      </w:r>
      <w:r>
        <w:rPr>
          <w:rFonts w:ascii="宋体" w:hAnsi="宋体"/>
          <w:szCs w:val="21"/>
          <w:highlight w:val="none"/>
        </w:rPr>
        <w:fldChar w:fldCharType="separate"/>
      </w:r>
      <w:r>
        <w:rPr>
          <w:rFonts w:hint="eastAsia" w:ascii="宋体" w:hAnsi="宋体" w:eastAsia="宋体" w:cs="宋体"/>
          <w:bCs/>
          <w:kern w:val="2"/>
          <w:szCs w:val="32"/>
          <w:highlight w:val="none"/>
          <w:lang w:val="en-US" w:eastAsia="zh-CN" w:bidi="ar-SA"/>
        </w:rPr>
        <w:t>第三章</w:t>
      </w:r>
      <w:r>
        <w:rPr>
          <w:rFonts w:hint="eastAsia" w:ascii="宋体" w:hAnsi="宋体" w:cs="宋体"/>
          <w:bCs/>
          <w:kern w:val="2"/>
          <w:szCs w:val="32"/>
          <w:highlight w:val="none"/>
          <w:lang w:val="en-US" w:eastAsia="zh-CN" w:bidi="ar-SA"/>
        </w:rPr>
        <w:t xml:space="preserve">  </w:t>
      </w:r>
      <w:r>
        <w:rPr>
          <w:rFonts w:hint="eastAsia" w:ascii="宋体" w:hAnsi="宋体" w:cs="宋体"/>
          <w:bCs/>
          <w:szCs w:val="32"/>
          <w:highlight w:val="none"/>
        </w:rPr>
        <w:t>招标内容及要求</w:t>
      </w:r>
      <w:r>
        <w:tab/>
      </w:r>
      <w:r>
        <w:fldChar w:fldCharType="begin"/>
      </w:r>
      <w:r>
        <w:instrText xml:space="preserve"> PAGEREF _Toc12913 \h </w:instrText>
      </w:r>
      <w:r>
        <w:fldChar w:fldCharType="separate"/>
      </w:r>
      <w:r>
        <w:t>24</w:t>
      </w:r>
      <w:r>
        <w:fldChar w:fldCharType="end"/>
      </w:r>
      <w:r>
        <w:rPr>
          <w:rFonts w:ascii="宋体" w:hAnsi="宋体"/>
          <w:color w:val="auto"/>
          <w:szCs w:val="21"/>
          <w:highlight w:val="none"/>
        </w:rPr>
        <w:fldChar w:fldCharType="end"/>
      </w:r>
    </w:p>
    <w:p w14:paraId="2BDF85EA">
      <w:pPr>
        <w:pStyle w:val="15"/>
        <w:tabs>
          <w:tab w:val="right" w:leader="dot" w:pos="9639"/>
          <w:tab w:val="clear" w:pos="735"/>
          <w:tab w:val="clear" w:pos="9530"/>
        </w:tabs>
        <w:rPr>
          <w:rFonts w:hint="eastAsia" w:eastAsia="宋体"/>
          <w:lang w:val="en-US" w:eastAsia="zh-CN"/>
        </w:rPr>
      </w:pPr>
      <w:r>
        <w:rPr>
          <w:rFonts w:ascii="宋体" w:hAnsi="宋体"/>
          <w:color w:val="auto"/>
          <w:szCs w:val="21"/>
          <w:highlight w:val="none"/>
        </w:rPr>
        <w:fldChar w:fldCharType="begin"/>
      </w:r>
      <w:r>
        <w:rPr>
          <w:rFonts w:ascii="宋体" w:hAnsi="宋体"/>
          <w:szCs w:val="21"/>
          <w:highlight w:val="none"/>
        </w:rPr>
        <w:instrText xml:space="preserve"> HYPERLINK \l _Toc5320 </w:instrText>
      </w:r>
      <w:r>
        <w:rPr>
          <w:rFonts w:ascii="宋体" w:hAnsi="宋体"/>
          <w:szCs w:val="21"/>
          <w:highlight w:val="none"/>
        </w:rPr>
        <w:fldChar w:fldCharType="separate"/>
      </w:r>
      <w:r>
        <w:rPr>
          <w:rFonts w:hint="eastAsia" w:ascii="宋体" w:hAnsi="宋体" w:eastAsia="宋体" w:cs="宋体"/>
          <w:bCs/>
          <w:kern w:val="36"/>
          <w:szCs w:val="32"/>
          <w:highlight w:val="none"/>
          <w:lang w:val="en-US" w:eastAsia="zh-CN" w:bidi="ar-SA"/>
        </w:rPr>
        <w:t>第四章 合同(参考文本)</w:t>
      </w:r>
      <w:r>
        <w:tab/>
      </w:r>
      <w:r>
        <w:fldChar w:fldCharType="begin"/>
      </w:r>
      <w:r>
        <w:instrText xml:space="preserve"> PAGEREF _Toc5320 \h </w:instrText>
      </w:r>
      <w:r>
        <w:fldChar w:fldCharType="separate"/>
      </w:r>
      <w:r>
        <w:t>32</w:t>
      </w:r>
      <w:r>
        <w:fldChar w:fldCharType="end"/>
      </w:r>
      <w:r>
        <w:rPr>
          <w:rFonts w:ascii="宋体" w:hAnsi="宋体"/>
          <w:color w:val="auto"/>
          <w:szCs w:val="21"/>
          <w:highlight w:val="none"/>
        </w:rPr>
        <w:fldChar w:fldCharType="end"/>
      </w:r>
      <w:r>
        <w:rPr>
          <w:rFonts w:ascii="宋体" w:hAnsi="宋体"/>
          <w:color w:val="auto"/>
          <w:szCs w:val="21"/>
          <w:highlight w:val="none"/>
        </w:rPr>
        <w:br w:type="textWrapping"/>
      </w:r>
      <w:r>
        <w:rPr>
          <w:rFonts w:ascii="宋体" w:hAnsi="宋体"/>
          <w:color w:val="auto"/>
          <w:szCs w:val="21"/>
          <w:highlight w:val="none"/>
        </w:rPr>
        <w:fldChar w:fldCharType="begin"/>
      </w:r>
      <w:r>
        <w:rPr>
          <w:rFonts w:ascii="宋体" w:hAnsi="宋体"/>
          <w:szCs w:val="21"/>
          <w:highlight w:val="none"/>
        </w:rPr>
        <w:instrText xml:space="preserve"> HYPERLINK \l _Toc5320 </w:instrText>
      </w:r>
      <w:r>
        <w:rPr>
          <w:rFonts w:ascii="宋体" w:hAnsi="宋体"/>
          <w:szCs w:val="21"/>
          <w:highlight w:val="none"/>
        </w:rPr>
        <w:fldChar w:fldCharType="separate"/>
      </w:r>
      <w:r>
        <w:rPr>
          <w:rFonts w:hint="eastAsia" w:ascii="宋体" w:hAnsi="宋体" w:eastAsia="宋体" w:cs="宋体"/>
          <w:bCs/>
          <w:kern w:val="36"/>
          <w:szCs w:val="32"/>
          <w:highlight w:val="none"/>
          <w:lang w:val="en-US" w:eastAsia="zh-CN" w:bidi="ar-SA"/>
        </w:rPr>
        <w:t>第</w:t>
      </w:r>
      <w:r>
        <w:rPr>
          <w:rFonts w:hint="eastAsia" w:ascii="宋体" w:hAnsi="宋体" w:cs="宋体"/>
          <w:bCs/>
          <w:kern w:val="36"/>
          <w:szCs w:val="32"/>
          <w:highlight w:val="none"/>
          <w:lang w:val="en-US" w:eastAsia="zh-CN" w:bidi="ar-SA"/>
        </w:rPr>
        <w:t>五</w:t>
      </w:r>
      <w:r>
        <w:rPr>
          <w:rFonts w:hint="eastAsia" w:ascii="宋体" w:hAnsi="宋体" w:eastAsia="宋体" w:cs="宋体"/>
          <w:bCs/>
          <w:kern w:val="36"/>
          <w:szCs w:val="32"/>
          <w:highlight w:val="none"/>
          <w:lang w:val="en-US" w:eastAsia="zh-CN" w:bidi="ar-SA"/>
        </w:rPr>
        <w:t>章 投标文件格式</w:t>
      </w:r>
      <w:r>
        <w:tab/>
      </w:r>
      <w:r>
        <w:rPr>
          <w:rFonts w:hint="eastAsia"/>
          <w:lang w:val="en-US" w:eastAsia="zh-CN"/>
        </w:rPr>
        <w:t>3</w:t>
      </w:r>
      <w:r>
        <w:rPr>
          <w:rFonts w:ascii="宋体" w:hAnsi="宋体"/>
          <w:color w:val="auto"/>
          <w:szCs w:val="21"/>
          <w:highlight w:val="none"/>
        </w:rPr>
        <w:fldChar w:fldCharType="end"/>
      </w:r>
      <w:r>
        <w:rPr>
          <w:rFonts w:hint="eastAsia" w:ascii="宋体" w:hAnsi="宋体"/>
          <w:color w:val="auto"/>
          <w:szCs w:val="21"/>
          <w:highlight w:val="none"/>
          <w:lang w:val="en-US" w:eastAsia="zh-CN"/>
        </w:rPr>
        <w:t>5</w:t>
      </w:r>
    </w:p>
    <w:p w14:paraId="35BA4033">
      <w:pPr>
        <w:pStyle w:val="15"/>
        <w:tabs>
          <w:tab w:val="right" w:leader="dot" w:pos="9639"/>
          <w:tab w:val="clear" w:pos="735"/>
          <w:tab w:val="clear" w:pos="9530"/>
        </w:tabs>
      </w:pPr>
    </w:p>
    <w:p w14:paraId="0A8D43A1">
      <w:pPr>
        <w:spacing w:line="480" w:lineRule="exact"/>
        <w:ind w:firstLine="105" w:firstLineChars="50"/>
        <w:rPr>
          <w:rFonts w:hAnsi="宋体"/>
          <w:b/>
          <w:color w:val="auto"/>
          <w:sz w:val="36"/>
          <w:szCs w:val="36"/>
          <w:highlight w:val="none"/>
        </w:rPr>
      </w:pPr>
      <w:r>
        <w:rPr>
          <w:rFonts w:ascii="宋体" w:hAnsi="宋体"/>
          <w:color w:val="auto"/>
          <w:szCs w:val="21"/>
          <w:highlight w:val="none"/>
        </w:rPr>
        <w:fldChar w:fldCharType="end"/>
      </w:r>
      <w:r>
        <w:rPr>
          <w:rFonts w:hint="eastAsia" w:ascii="宋体" w:hAnsi="宋体"/>
          <w:b/>
          <w:color w:val="auto"/>
          <w:sz w:val="24"/>
          <w:highlight w:val="none"/>
        </w:rPr>
        <w:t>注：本招标文件共</w:t>
      </w:r>
      <w:r>
        <w:rPr>
          <w:rFonts w:hint="eastAsia" w:ascii="宋体" w:hAnsi="宋体"/>
          <w:b/>
          <w:color w:val="auto"/>
          <w:sz w:val="24"/>
          <w:highlight w:val="none"/>
          <w:lang w:val="en-US" w:eastAsia="zh-CN"/>
        </w:rPr>
        <w:t>56</w:t>
      </w:r>
      <w:r>
        <w:rPr>
          <w:rFonts w:hint="eastAsia" w:ascii="宋体" w:hAnsi="宋体"/>
          <w:b/>
          <w:color w:val="auto"/>
          <w:sz w:val="24"/>
          <w:highlight w:val="none"/>
        </w:rPr>
        <w:t>页（不含封面和目录），请投标人领取招标文件时自行核对，如发现缺、损等情况，在领取招标文件当日应向福建省宏瑞招标代理有限公司提出，否则，由此造成的一切后果由投标人自负。</w:t>
      </w:r>
    </w:p>
    <w:p w14:paraId="2CBC56CE">
      <w:pPr>
        <w:pStyle w:val="31"/>
        <w:ind w:left="180"/>
        <w:jc w:val="center"/>
        <w:outlineLvl w:val="0"/>
        <w:rPr>
          <w:rFonts w:hAnsi="宋体"/>
          <w:b/>
          <w:color w:val="auto"/>
          <w:sz w:val="36"/>
          <w:szCs w:val="36"/>
          <w:highlight w:val="none"/>
        </w:rPr>
      </w:pPr>
    </w:p>
    <w:p w14:paraId="46CF9069">
      <w:pPr>
        <w:pStyle w:val="31"/>
        <w:ind w:left="180"/>
        <w:jc w:val="center"/>
        <w:outlineLvl w:val="0"/>
        <w:rPr>
          <w:rFonts w:hAnsi="宋体"/>
          <w:b/>
          <w:color w:val="auto"/>
          <w:sz w:val="36"/>
          <w:szCs w:val="36"/>
          <w:highlight w:val="none"/>
        </w:rPr>
      </w:pPr>
    </w:p>
    <w:p w14:paraId="24D15C35">
      <w:pPr>
        <w:pStyle w:val="31"/>
        <w:ind w:left="180"/>
        <w:jc w:val="center"/>
        <w:outlineLvl w:val="0"/>
        <w:rPr>
          <w:rFonts w:hAnsi="宋体"/>
          <w:b/>
          <w:color w:val="auto"/>
          <w:sz w:val="36"/>
          <w:szCs w:val="36"/>
          <w:highlight w:val="none"/>
        </w:rPr>
      </w:pPr>
    </w:p>
    <w:p w14:paraId="77518FB2">
      <w:pPr>
        <w:pStyle w:val="31"/>
        <w:ind w:left="180"/>
        <w:jc w:val="center"/>
        <w:outlineLvl w:val="0"/>
        <w:rPr>
          <w:rFonts w:hAnsi="宋体"/>
          <w:b/>
          <w:color w:val="auto"/>
          <w:sz w:val="36"/>
          <w:szCs w:val="36"/>
          <w:highlight w:val="none"/>
        </w:rPr>
      </w:pPr>
    </w:p>
    <w:p w14:paraId="59AA053D">
      <w:pPr>
        <w:pStyle w:val="31"/>
        <w:ind w:left="180"/>
        <w:jc w:val="center"/>
        <w:outlineLvl w:val="0"/>
        <w:rPr>
          <w:rFonts w:hAnsi="宋体"/>
          <w:b/>
          <w:color w:val="auto"/>
          <w:sz w:val="36"/>
          <w:szCs w:val="36"/>
          <w:highlight w:val="none"/>
        </w:rPr>
      </w:pPr>
    </w:p>
    <w:p w14:paraId="38D7BF9F">
      <w:pPr>
        <w:pStyle w:val="31"/>
        <w:ind w:left="180"/>
        <w:jc w:val="center"/>
        <w:outlineLvl w:val="0"/>
        <w:rPr>
          <w:rFonts w:hAnsi="宋体"/>
          <w:b/>
          <w:color w:val="auto"/>
          <w:sz w:val="36"/>
          <w:szCs w:val="36"/>
          <w:highlight w:val="none"/>
        </w:rPr>
      </w:pPr>
    </w:p>
    <w:p w14:paraId="5D3301FD">
      <w:pPr>
        <w:pStyle w:val="31"/>
        <w:ind w:left="180"/>
        <w:jc w:val="center"/>
        <w:outlineLvl w:val="0"/>
        <w:rPr>
          <w:rFonts w:hAnsi="宋体"/>
          <w:b/>
          <w:color w:val="auto"/>
          <w:sz w:val="36"/>
          <w:szCs w:val="36"/>
          <w:highlight w:val="none"/>
        </w:rPr>
        <w:sectPr>
          <w:footerReference r:id="rId4" w:type="first"/>
          <w:headerReference r:id="rId3" w:type="default"/>
          <w:pgSz w:w="11907" w:h="16840"/>
          <w:pgMar w:top="1134" w:right="1134" w:bottom="1134" w:left="1134" w:header="680" w:footer="283" w:gutter="0"/>
          <w:pgNumType w:start="1"/>
          <w:cols w:space="720" w:num="1"/>
          <w:rtlGutter w:val="1"/>
          <w:docGrid w:linePitch="312" w:charSpace="0"/>
        </w:sectPr>
      </w:pPr>
    </w:p>
    <w:p w14:paraId="4AC137BC">
      <w:pPr>
        <w:pStyle w:val="31"/>
        <w:spacing w:line="360" w:lineRule="auto"/>
        <w:jc w:val="center"/>
        <w:outlineLvl w:val="0"/>
        <w:rPr>
          <w:rFonts w:hAnsi="宋体"/>
          <w:b/>
          <w:color w:val="auto"/>
          <w:sz w:val="36"/>
          <w:highlight w:val="none"/>
        </w:rPr>
      </w:pPr>
      <w:bookmarkStart w:id="0" w:name="_Toc14304"/>
      <w:r>
        <w:rPr>
          <w:rFonts w:hint="eastAsia" w:hAnsi="宋体"/>
          <w:b/>
          <w:color w:val="auto"/>
          <w:sz w:val="36"/>
          <w:szCs w:val="36"/>
          <w:highlight w:val="none"/>
        </w:rPr>
        <w:t xml:space="preserve">第一章  </w:t>
      </w:r>
      <w:r>
        <w:rPr>
          <w:rFonts w:hint="eastAsia" w:hAnsi="宋体"/>
          <w:b/>
          <w:color w:val="auto"/>
          <w:sz w:val="36"/>
          <w:highlight w:val="none"/>
        </w:rPr>
        <w:t>投标邀请</w:t>
      </w:r>
      <w:bookmarkEnd w:id="0"/>
    </w:p>
    <w:p w14:paraId="4B929D32">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福建省宏瑞招标代理有限公司</w:t>
      </w:r>
      <w:r>
        <w:rPr>
          <w:rFonts w:hint="eastAsia" w:ascii="宋体" w:hAnsi="宋体"/>
          <w:color w:val="auto"/>
          <w:sz w:val="24"/>
          <w:highlight w:val="none"/>
        </w:rPr>
        <w:t>受</w:t>
      </w:r>
      <w:r>
        <w:rPr>
          <w:rFonts w:hint="eastAsia" w:ascii="宋体" w:hAnsi="宋体"/>
          <w:color w:val="auto"/>
          <w:sz w:val="24"/>
          <w:highlight w:val="none"/>
          <w:u w:val="single"/>
          <w:lang w:eastAsia="zh-CN"/>
        </w:rPr>
        <w:t>福建宏达机械有限公司</w:t>
      </w:r>
      <w:r>
        <w:rPr>
          <w:rFonts w:hint="eastAsia" w:ascii="宋体" w:hAnsi="宋体"/>
          <w:color w:val="auto"/>
          <w:sz w:val="24"/>
          <w:highlight w:val="none"/>
          <w:u w:val="none"/>
        </w:rPr>
        <w:t>的</w:t>
      </w:r>
      <w:r>
        <w:rPr>
          <w:rFonts w:hint="eastAsia" w:ascii="宋体" w:hAnsi="宋体"/>
          <w:bCs/>
          <w:color w:val="auto"/>
          <w:sz w:val="24"/>
          <w:highlight w:val="none"/>
          <w:u w:val="none"/>
        </w:rPr>
        <w:t>委托，对</w:t>
      </w:r>
      <w:r>
        <w:rPr>
          <w:rFonts w:hint="eastAsia" w:ascii="宋体" w:hAnsi="宋体"/>
          <w:color w:val="auto"/>
          <w:sz w:val="24"/>
          <w:highlight w:val="none"/>
          <w:u w:val="single"/>
          <w:lang w:eastAsia="zh-CN"/>
        </w:rPr>
        <w:t>食堂服务外包项目</w:t>
      </w:r>
      <w:r>
        <w:rPr>
          <w:rFonts w:hint="eastAsia" w:ascii="宋体" w:hAnsi="宋体"/>
          <w:color w:val="auto"/>
          <w:sz w:val="24"/>
          <w:highlight w:val="none"/>
          <w:u w:val="none"/>
        </w:rPr>
        <w:t>的</w:t>
      </w:r>
      <w:r>
        <w:rPr>
          <w:rFonts w:hint="eastAsia" w:ascii="宋体" w:hAnsi="宋体"/>
          <w:sz w:val="24"/>
        </w:rPr>
        <w:t>下述服务进行公开招标，现欢迎国内合格的投标人前来提交密封的投标文件。</w:t>
      </w:r>
    </w:p>
    <w:p w14:paraId="605620FD">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hint="eastAsia" w:ascii="宋体" w:hAnsi="宋体"/>
          <w:color w:val="auto"/>
          <w:sz w:val="24"/>
          <w:highlight w:val="none"/>
          <w:lang w:eastAsia="zh-CN"/>
        </w:rPr>
        <w:t>项目编号</w:t>
      </w:r>
      <w:r>
        <w:rPr>
          <w:rFonts w:hint="eastAsia" w:ascii="宋体" w:hAnsi="宋体"/>
          <w:color w:val="auto"/>
          <w:sz w:val="24"/>
          <w:highlight w:val="none"/>
        </w:rPr>
        <w:t>：</w:t>
      </w:r>
      <w:r>
        <w:rPr>
          <w:rFonts w:hint="eastAsia" w:ascii="宋体" w:hAnsi="宋体"/>
          <w:color w:val="auto"/>
          <w:sz w:val="24"/>
          <w:highlight w:val="none"/>
          <w:lang w:eastAsia="zh-CN"/>
        </w:rPr>
        <w:t>FJHR2025070</w:t>
      </w:r>
    </w:p>
    <w:p w14:paraId="01EA6B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2、招标标的名称：详见《招标标的一览表》附后</w:t>
      </w:r>
    </w:p>
    <w:p w14:paraId="2071C7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3、获取招标文件时间及方式：</w:t>
      </w:r>
    </w:p>
    <w:p w14:paraId="7B03A7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（1）获取招标文件时间：202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eastAsia="zh-CN"/>
        </w:rPr>
        <w:t>至</w:t>
      </w:r>
      <w:r>
        <w:rPr>
          <w:rFonts w:hint="eastAsia" w:ascii="宋体" w:hAnsi="宋体"/>
          <w:color w:val="auto"/>
          <w:sz w:val="24"/>
          <w:highlight w:val="none"/>
        </w:rPr>
        <w:t>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日</w:t>
      </w:r>
      <w:r>
        <w:rPr>
          <w:rFonts w:hint="eastAsia" w:ascii="宋体" w:hAnsi="宋体"/>
          <w:color w:val="auto"/>
          <w:sz w:val="24"/>
          <w:highlight w:val="none"/>
        </w:rPr>
        <w:t>（不含节假日）8：30～18:00(北京时间)。</w:t>
      </w:r>
    </w:p>
    <w:p w14:paraId="27687A2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（2）获取招标文件方式：</w:t>
      </w:r>
    </w:p>
    <w:p w14:paraId="4F40AC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①潜在投标人应在规定的获取招标文件时间内至福建省宏瑞招标代理有限公司（地址：福建省福州市鼓楼区西洪路</w:t>
      </w:r>
      <w:r>
        <w:rPr>
          <w:rFonts w:hint="eastAsia" w:ascii="宋体" w:hAnsi="宋体"/>
          <w:bCs/>
          <w:color w:val="auto"/>
          <w:sz w:val="24"/>
          <w:highlight w:val="none"/>
        </w:rPr>
        <w:t>518号</w:t>
      </w:r>
      <w:r>
        <w:rPr>
          <w:rFonts w:hint="eastAsia" w:ascii="宋体" w:hAnsi="宋体"/>
          <w:color w:val="auto"/>
          <w:sz w:val="24"/>
          <w:highlight w:val="none"/>
        </w:rPr>
        <w:t>恩特楼A-402）现场填写《获取招标文件登记表》；</w:t>
      </w:r>
    </w:p>
    <w:p w14:paraId="1C5FEBA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②潜在投标人应从本项目</w:t>
      </w:r>
      <w:r>
        <w:rPr>
          <w:rFonts w:hint="eastAsia" w:ascii="宋体" w:hAnsi="宋体"/>
          <w:color w:val="auto"/>
          <w:sz w:val="24"/>
          <w:highlight w:val="none"/>
          <w:lang w:eastAsia="zh-CN"/>
        </w:rPr>
        <w:t>招标</w:t>
      </w:r>
      <w:r>
        <w:rPr>
          <w:rFonts w:hint="eastAsia" w:ascii="宋体" w:hAnsi="宋体"/>
          <w:color w:val="auto"/>
          <w:sz w:val="24"/>
          <w:highlight w:val="none"/>
        </w:rPr>
        <w:t>信息发布媒体（具体媒体详见本章第7条）下载《获取招标文件登记表》，并将填写完整的《获取招标文件登记表》在</w:t>
      </w:r>
      <w:r>
        <w:rPr>
          <w:rFonts w:hint="eastAsia" w:ascii="宋体" w:hAnsi="宋体"/>
          <w:color w:val="auto"/>
          <w:sz w:val="24"/>
          <w:highlight w:val="none"/>
          <w:lang w:eastAsia="zh-CN"/>
        </w:rPr>
        <w:t>规定的</w:t>
      </w:r>
      <w:r>
        <w:rPr>
          <w:rFonts w:hint="eastAsia" w:ascii="宋体" w:hAnsi="宋体"/>
          <w:color w:val="auto"/>
          <w:sz w:val="24"/>
          <w:highlight w:val="none"/>
        </w:rPr>
        <w:t>获取招标文件时间内发送至福建省宏瑞招标代理有限公司邮箱（fjhrzb@126.com）</w:t>
      </w:r>
      <w:r>
        <w:rPr>
          <w:rFonts w:hint="eastAsia" w:ascii="宋体" w:hAnsi="宋体"/>
          <w:color w:val="auto"/>
          <w:sz w:val="24"/>
          <w:highlight w:val="none"/>
          <w:lang w:eastAsia="zh-CN"/>
        </w:rPr>
        <w:t>，并致电代理机构确认</w:t>
      </w:r>
      <w:r>
        <w:rPr>
          <w:rFonts w:hint="eastAsia" w:ascii="宋体" w:hAnsi="宋体"/>
          <w:color w:val="auto"/>
          <w:sz w:val="24"/>
          <w:highlight w:val="none"/>
        </w:rPr>
        <w:t>。</w:t>
      </w:r>
    </w:p>
    <w:p w14:paraId="7065296F">
      <w:pPr>
        <w:spacing w:line="360" w:lineRule="auto"/>
        <w:ind w:firstLine="480" w:firstLineChars="200"/>
        <w:rPr>
          <w:rFonts w:ascii="宋体" w:hAnsi="宋体"/>
          <w:b/>
          <w:bCs/>
          <w:color w:val="auto"/>
          <w:sz w:val="24"/>
          <w:highlight w:val="none"/>
          <w:u w:val="single"/>
        </w:rPr>
      </w:pPr>
      <w:r>
        <w:rPr>
          <w:rFonts w:hint="eastAsia" w:ascii="宋体" w:hAnsi="宋体"/>
          <w:color w:val="auto"/>
          <w:sz w:val="24"/>
          <w:highlight w:val="none"/>
        </w:rPr>
        <w:t>注：投标人应选择上述两种方式中的一种获取招标文件，未在规定时间内获取招标文件的</w:t>
      </w:r>
      <w:r>
        <w:rPr>
          <w:rFonts w:hint="eastAsia" w:ascii="宋体" w:hAnsi="宋体"/>
          <w:color w:val="auto"/>
          <w:sz w:val="24"/>
          <w:highlight w:val="none"/>
          <w:lang w:eastAsia="zh-CN"/>
        </w:rPr>
        <w:t>视为</w:t>
      </w:r>
      <w:r>
        <w:rPr>
          <w:rFonts w:hint="eastAsia" w:ascii="宋体" w:hAnsi="宋体"/>
          <w:color w:val="auto"/>
          <w:sz w:val="24"/>
          <w:highlight w:val="none"/>
        </w:rPr>
        <w:t>自动放弃参与投标。</w:t>
      </w:r>
      <w:r>
        <w:rPr>
          <w:rFonts w:hint="eastAsia" w:ascii="宋体" w:hAnsi="宋体"/>
          <w:b/>
          <w:bCs/>
          <w:color w:val="auto"/>
          <w:sz w:val="24"/>
          <w:highlight w:val="none"/>
          <w:u w:val="single"/>
        </w:rPr>
        <w:t>潜在投标人在《获取招标文件登记表》中填写的公司名称应与投标时的投标人名称一致（若投标人名称有变更的，应在</w:t>
      </w:r>
      <w:r>
        <w:rPr>
          <w:rFonts w:hint="eastAsia" w:ascii="宋体" w:hAnsi="宋体"/>
          <w:b/>
          <w:bCs/>
          <w:color w:val="auto"/>
          <w:sz w:val="24"/>
          <w:highlight w:val="none"/>
          <w:u w:val="single"/>
          <w:lang w:eastAsia="zh-CN"/>
        </w:rPr>
        <w:t>递交投标文件时提供</w:t>
      </w:r>
      <w:r>
        <w:rPr>
          <w:rFonts w:hint="eastAsia" w:ascii="宋体" w:hAnsi="宋体"/>
          <w:b/>
          <w:bCs/>
          <w:color w:val="auto"/>
          <w:sz w:val="24"/>
          <w:highlight w:val="none"/>
          <w:u w:val="single"/>
        </w:rPr>
        <w:t>工商部门出具的更名证明），否则</w:t>
      </w:r>
      <w:r>
        <w:rPr>
          <w:rFonts w:hint="eastAsia" w:ascii="宋体" w:hAnsi="宋体"/>
          <w:b/>
          <w:bCs/>
          <w:color w:val="auto"/>
          <w:sz w:val="24"/>
          <w:highlight w:val="none"/>
          <w:u w:val="single"/>
          <w:lang w:eastAsia="zh-CN"/>
        </w:rPr>
        <w:t>投标文件将被拒收</w:t>
      </w:r>
      <w:r>
        <w:rPr>
          <w:rFonts w:hint="eastAsia" w:ascii="宋体" w:hAnsi="宋体"/>
          <w:b/>
          <w:bCs/>
          <w:color w:val="auto"/>
          <w:sz w:val="24"/>
          <w:highlight w:val="none"/>
          <w:u w:val="single"/>
        </w:rPr>
        <w:t>。</w:t>
      </w:r>
    </w:p>
    <w:p w14:paraId="0513AF14">
      <w:pPr>
        <w:spacing w:line="360" w:lineRule="auto"/>
        <w:ind w:firstLine="480" w:firstLineChars="200"/>
        <w:rPr>
          <w:rFonts w:ascii="宋体" w:hAnsi="宋体"/>
          <w:b/>
          <w:color w:val="auto"/>
          <w:sz w:val="24"/>
          <w:highlight w:val="none"/>
          <w:shd w:val="pct10" w:color="auto" w:fill="FFFFFF"/>
        </w:rPr>
      </w:pPr>
      <w:r>
        <w:rPr>
          <w:rFonts w:hint="eastAsia" w:ascii="宋体" w:hAnsi="宋体"/>
          <w:color w:val="auto"/>
          <w:sz w:val="24"/>
          <w:highlight w:val="none"/>
        </w:rPr>
        <w:t>4、投标截止时间：投标文件应于[202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]（北京时间）之前提交到</w:t>
      </w:r>
      <w:r>
        <w:rPr>
          <w:rFonts w:hint="eastAsia" w:ascii="宋体" w:hAnsi="宋体"/>
          <w:b/>
          <w:color w:val="auto"/>
          <w:sz w:val="24"/>
          <w:highlight w:val="none"/>
          <w:shd w:val="pct10" w:color="auto" w:fill="FFFFFF"/>
        </w:rPr>
        <w:t>福建省宏瑞招标代理有限公司开标大厅（</w:t>
      </w:r>
      <w:r>
        <w:rPr>
          <w:rFonts w:hint="eastAsia" w:ascii="宋体" w:hAnsi="宋体"/>
          <w:b/>
          <w:color w:val="auto"/>
          <w:sz w:val="24"/>
          <w:highlight w:val="none"/>
          <w:shd w:val="clear" w:color="FFFFFF" w:fill="D9D9D9"/>
        </w:rPr>
        <w:t>福建省福州市鼓楼区西洪路518号恩特楼A-403）</w:t>
      </w:r>
      <w:r>
        <w:rPr>
          <w:rFonts w:hint="eastAsia" w:ascii="宋体" w:hAnsi="宋体"/>
          <w:b/>
          <w:color w:val="auto"/>
          <w:sz w:val="24"/>
          <w:highlight w:val="none"/>
        </w:rPr>
        <w:t>，逾期送达的或不符合规定的投标文件将被拒收</w:t>
      </w:r>
      <w:r>
        <w:rPr>
          <w:rFonts w:hint="eastAsia" w:ascii="宋体" w:hAnsi="宋体"/>
          <w:color w:val="auto"/>
          <w:sz w:val="24"/>
          <w:highlight w:val="none"/>
        </w:rPr>
        <w:t>。</w:t>
      </w:r>
    </w:p>
    <w:p w14:paraId="16F13B2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5、开标时间：[202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](北京时间）；开标地点：</w:t>
      </w:r>
      <w:r>
        <w:rPr>
          <w:rFonts w:hint="eastAsia" w:ascii="宋体" w:hAnsi="宋体"/>
          <w:b/>
          <w:color w:val="auto"/>
          <w:sz w:val="24"/>
          <w:highlight w:val="none"/>
          <w:shd w:val="clear" w:color="FFFFFF" w:fill="D9D9D9"/>
        </w:rPr>
        <w:t>福建省宏瑞招标代理有限公司开标大厅（福建省福州市鼓楼区西洪路518号恩特楼A-403）。</w:t>
      </w:r>
    </w:p>
    <w:p w14:paraId="6B1CA9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6、投标人对本次招标活动事项提出异议的时限及提交的书面异议材料按照招标文件第二章投标人须知第23条要求执行。</w:t>
      </w:r>
    </w:p>
    <w:p w14:paraId="0191BE9B">
      <w:pPr>
        <w:spacing w:line="360" w:lineRule="auto"/>
        <w:ind w:firstLine="480" w:firstLineChars="200"/>
        <w:rPr>
          <w:rFonts w:hint="eastAsia" w:ascii="宋体" w:hAnsi="宋体"/>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rPr>
        <w:t>本项目</w:t>
      </w:r>
      <w:r>
        <w:rPr>
          <w:rFonts w:hint="eastAsia" w:ascii="宋体" w:hAnsi="宋体"/>
          <w:color w:val="auto"/>
          <w:sz w:val="24"/>
          <w:highlight w:val="none"/>
          <w:lang w:eastAsia="zh-CN"/>
        </w:rPr>
        <w:t>招标</w:t>
      </w:r>
      <w:r>
        <w:rPr>
          <w:rFonts w:hint="eastAsia" w:ascii="宋体" w:hAnsi="宋体"/>
          <w:color w:val="auto"/>
          <w:sz w:val="24"/>
          <w:highlight w:val="none"/>
        </w:rPr>
        <w:t>信息发布媒体：</w:t>
      </w:r>
    </w:p>
    <w:p w14:paraId="05021586">
      <w:pPr>
        <w:spacing w:line="360" w:lineRule="auto"/>
        <w:ind w:firstLine="480" w:firstLineChars="200"/>
        <w:rPr>
          <w:rFonts w:hint="eastAsia" w:ascii="宋体" w:hAnsi="宋体"/>
          <w:bCs/>
          <w:color w:val="auto"/>
          <w:sz w:val="24"/>
          <w:highlight w:val="none"/>
          <w:lang w:val="zh-CN"/>
        </w:rPr>
      </w:pPr>
      <w:r>
        <w:rPr>
          <w:rFonts w:hint="eastAsia" w:ascii="宋体" w:hAnsi="宋体"/>
          <w:color w:val="auto"/>
          <w:sz w:val="24"/>
          <w:highlight w:val="none"/>
          <w:lang w:val="zh-CN"/>
        </w:rPr>
        <w:t>有关本项目招标的相关信息</w:t>
      </w:r>
      <w:r>
        <w:rPr>
          <w:rFonts w:hint="eastAsia" w:ascii="宋体" w:hAnsi="宋体"/>
          <w:color w:val="auto"/>
          <w:sz w:val="24"/>
          <w:highlight w:val="none"/>
        </w:rPr>
        <w:t>（</w:t>
      </w:r>
      <w:r>
        <w:rPr>
          <w:rFonts w:hint="eastAsia" w:ascii="宋体" w:hAnsi="宋体"/>
          <w:color w:val="auto"/>
          <w:sz w:val="24"/>
          <w:highlight w:val="none"/>
          <w:lang w:val="zh-CN"/>
        </w:rPr>
        <w:t>包括招标文件若有修改补充</w:t>
      </w:r>
      <w:r>
        <w:rPr>
          <w:rFonts w:hint="eastAsia" w:ascii="宋体" w:hAnsi="宋体"/>
          <w:color w:val="auto"/>
          <w:sz w:val="24"/>
          <w:highlight w:val="none"/>
        </w:rPr>
        <w:t>）</w:t>
      </w:r>
      <w:r>
        <w:rPr>
          <w:rFonts w:hint="eastAsia" w:ascii="宋体" w:hAnsi="宋体"/>
          <w:color w:val="auto"/>
          <w:spacing w:val="-2"/>
          <w:sz w:val="24"/>
          <w:highlight w:val="none"/>
        </w:rPr>
        <w:t>，</w:t>
      </w:r>
      <w:r>
        <w:rPr>
          <w:rFonts w:hint="eastAsia" w:ascii="宋体" w:hAnsi="宋体"/>
          <w:bCs/>
          <w:color w:val="auto"/>
          <w:sz w:val="24"/>
          <w:highlight w:val="none"/>
        </w:rPr>
        <w:t>福建省宏瑞招标代理有限公司将</w:t>
      </w:r>
      <w:r>
        <w:rPr>
          <w:rFonts w:hint="eastAsia" w:ascii="宋体" w:hAnsi="宋体"/>
          <w:color w:val="auto"/>
          <w:spacing w:val="-2"/>
          <w:sz w:val="24"/>
          <w:highlight w:val="none"/>
        </w:rPr>
        <w:t>通过以下媒介发布通知，</w:t>
      </w:r>
      <w:r>
        <w:rPr>
          <w:rFonts w:hint="eastAsia" w:ascii="宋体" w:hAnsi="宋体"/>
          <w:color w:val="auto"/>
          <w:sz w:val="24"/>
          <w:highlight w:val="none"/>
          <w:lang w:val="zh-CN"/>
        </w:rPr>
        <w:t>请潜在投标人随时关注相关网站</w:t>
      </w:r>
      <w:r>
        <w:rPr>
          <w:rFonts w:hint="eastAsia" w:ascii="宋体" w:hAnsi="宋体"/>
          <w:color w:val="auto"/>
          <w:sz w:val="24"/>
          <w:highlight w:val="none"/>
        </w:rPr>
        <w:t>，</w:t>
      </w:r>
      <w:r>
        <w:rPr>
          <w:rFonts w:hint="eastAsia" w:ascii="宋体" w:hAnsi="宋体"/>
          <w:color w:val="auto"/>
          <w:sz w:val="24"/>
          <w:highlight w:val="none"/>
          <w:lang w:val="zh-CN"/>
        </w:rPr>
        <w:t>以免</w:t>
      </w:r>
      <w:r>
        <w:rPr>
          <w:rFonts w:hint="eastAsia" w:ascii="宋体" w:hAnsi="宋体"/>
          <w:bCs/>
          <w:color w:val="auto"/>
          <w:sz w:val="24"/>
          <w:highlight w:val="none"/>
          <w:lang w:val="zh-CN"/>
        </w:rPr>
        <w:t>错漏重要信息。</w:t>
      </w:r>
    </w:p>
    <w:p w14:paraId="4C71AF1C">
      <w:pPr>
        <w:numPr>
          <w:ilvl w:val="0"/>
          <w:numId w:val="0"/>
        </w:numPr>
        <w:spacing w:line="360" w:lineRule="auto"/>
        <w:ind w:firstLine="480" w:firstLineChars="200"/>
        <w:rPr>
          <w:rFonts w:hint="eastAsia" w:ascii="宋体" w:hAnsi="宋体"/>
          <w:bCs/>
          <w:color w:val="auto"/>
          <w:sz w:val="24"/>
          <w:highlight w:val="none"/>
        </w:rPr>
      </w:pPr>
      <w:r>
        <w:rPr>
          <w:rFonts w:hint="eastAsia" w:ascii="宋体" w:hAnsi="宋体" w:eastAsia="宋体" w:cs="Times New Roman"/>
          <w:bCs/>
          <w:color w:val="auto"/>
          <w:kern w:val="2"/>
          <w:sz w:val="24"/>
          <w:szCs w:val="24"/>
          <w:lang w:val="en-US" w:eastAsia="zh-CN" w:bidi="ar-SA"/>
        </w:rPr>
        <w:t>（1）</w:t>
      </w:r>
      <w:r>
        <w:rPr>
          <w:rFonts w:hint="eastAsia" w:ascii="宋体" w:hAnsi="宋体"/>
          <w:bCs/>
          <w:color w:val="auto"/>
          <w:sz w:val="24"/>
          <w:highlight w:val="none"/>
        </w:rPr>
        <w:t>福建省国资采购平台（https://ygcg.fjcqjy.com/）；</w:t>
      </w:r>
    </w:p>
    <w:p w14:paraId="6CB74B8A">
      <w:pPr>
        <w:spacing w:line="360" w:lineRule="auto"/>
        <w:ind w:left="479" w:leftChars="228" w:firstLine="0" w:firstLineChars="0"/>
        <w:rPr>
          <w:color w:val="auto"/>
          <w:highlight w:val="none"/>
        </w:rPr>
      </w:pPr>
      <w:r>
        <w:rPr>
          <w:rFonts w:hint="eastAsia" w:ascii="宋体" w:hAnsi="宋体"/>
          <w:bCs/>
          <w:color w:val="auto"/>
          <w:sz w:val="24"/>
          <w:highlight w:val="none"/>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）中国招标投标公共服务平台http://www.cebpubservice.com/</w:t>
      </w:r>
      <w:r>
        <w:rPr>
          <w:rFonts w:hint="eastAsia" w:ascii="宋体" w:hAnsi="宋体"/>
          <w:bCs/>
          <w:color w:val="auto"/>
          <w:sz w:val="24"/>
          <w:highlight w:val="none"/>
        </w:rPr>
        <w:br w:type="textWrapping"/>
      </w:r>
      <w:r>
        <w:rPr>
          <w:rFonts w:hint="eastAsia" w:ascii="宋体" w:hAnsi="宋体"/>
          <w:bCs/>
          <w:color w:val="auto"/>
          <w:sz w:val="24"/>
          <w:highlight w:val="none"/>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）福建省宏瑞招标代理有限公司网站(http://www.fjhongr</w:t>
      </w:r>
      <w:r>
        <w:rPr>
          <w:rFonts w:hint="eastAsia"/>
          <w:color w:val="auto"/>
          <w:highlight w:val="none"/>
        </w:rPr>
        <w:t>ui.com )。</w:t>
      </w:r>
    </w:p>
    <w:p w14:paraId="207C0C0A">
      <w:pPr>
        <w:pStyle w:val="19"/>
        <w:spacing w:line="360" w:lineRule="auto"/>
        <w:ind w:firstLine="480"/>
        <w:rPr>
          <w:color w:val="auto"/>
          <w:highlight w:val="none"/>
        </w:rPr>
      </w:pPr>
      <w:r>
        <w:rPr>
          <w:rFonts w:hint="eastAsia"/>
          <w:color w:val="auto"/>
          <w:highlight w:val="none"/>
        </w:rPr>
        <w:t>若出现上述指定媒体信息或发布时间不一致的情形，应以</w:t>
      </w:r>
      <w:r>
        <w:rPr>
          <w:rFonts w:hint="eastAsia" w:cs="宋体"/>
          <w:color w:val="auto"/>
          <w:highlight w:val="none"/>
        </w:rPr>
        <w:t>福建省国资采购平台</w:t>
      </w:r>
      <w:r>
        <w:rPr>
          <w:rFonts w:hint="eastAsia"/>
          <w:color w:val="auto"/>
          <w:highlight w:val="none"/>
        </w:rPr>
        <w:t>发布的为准。</w:t>
      </w:r>
    </w:p>
    <w:p w14:paraId="39CF7A63">
      <w:pPr>
        <w:tabs>
          <w:tab w:val="left" w:pos="4144"/>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8、</w:t>
      </w:r>
      <w:r>
        <w:rPr>
          <w:rFonts w:hint="eastAsia" w:ascii="宋体" w:hAnsi="宋体" w:eastAsia="宋体" w:cs="宋体"/>
          <w:color w:val="auto"/>
          <w:sz w:val="24"/>
          <w:highlight w:val="none"/>
        </w:rPr>
        <w:t>招标人联系方式</w:t>
      </w:r>
    </w:p>
    <w:p w14:paraId="5BA4F597">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联系人：翁</w:t>
      </w:r>
      <w:r>
        <w:rPr>
          <w:rFonts w:hint="eastAsia" w:ascii="宋体" w:hAnsi="宋体"/>
          <w:bCs/>
          <w:color w:val="auto"/>
          <w:sz w:val="24"/>
          <w:szCs w:val="24"/>
          <w:highlight w:val="none"/>
          <w:lang w:eastAsia="zh-CN"/>
        </w:rPr>
        <w:t>先生</w:t>
      </w:r>
      <w:r>
        <w:rPr>
          <w:rFonts w:hint="eastAsia" w:ascii="宋体" w:hAnsi="宋体"/>
          <w:bCs/>
          <w:color w:val="auto"/>
          <w:sz w:val="24"/>
          <w:szCs w:val="24"/>
          <w:highlight w:val="none"/>
        </w:rPr>
        <w:t xml:space="preserve">  联系电话：0591-63063916</w:t>
      </w:r>
    </w:p>
    <w:p w14:paraId="23DC8DD9">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联系人：陈</w:t>
      </w:r>
      <w:r>
        <w:rPr>
          <w:rFonts w:hint="eastAsia" w:ascii="宋体" w:hAnsi="宋体"/>
          <w:bCs/>
          <w:color w:val="auto"/>
          <w:sz w:val="24"/>
          <w:szCs w:val="24"/>
          <w:highlight w:val="none"/>
          <w:lang w:eastAsia="zh-CN"/>
        </w:rPr>
        <w:t>先生</w:t>
      </w:r>
      <w:r>
        <w:rPr>
          <w:rFonts w:hint="eastAsia" w:ascii="宋体" w:hAnsi="宋体"/>
          <w:bCs/>
          <w:color w:val="auto"/>
          <w:sz w:val="24"/>
          <w:szCs w:val="24"/>
          <w:highlight w:val="none"/>
        </w:rPr>
        <w:t xml:space="preserve">  联系电话：0591-63063955</w:t>
      </w:r>
    </w:p>
    <w:p w14:paraId="53A32FCB">
      <w:pPr>
        <w:spacing w:line="360" w:lineRule="auto"/>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地址：福州市仓山区螺洲镇刀石山路8号</w:t>
      </w:r>
    </w:p>
    <w:p w14:paraId="06690D4B">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9、招标代理机构</w:t>
      </w:r>
      <w:r>
        <w:rPr>
          <w:rFonts w:ascii="宋体" w:hAnsi="宋体"/>
          <w:bCs/>
          <w:color w:val="auto"/>
          <w:sz w:val="24"/>
          <w:highlight w:val="none"/>
        </w:rPr>
        <w:t>联系方式</w:t>
      </w:r>
    </w:p>
    <w:p w14:paraId="0FC0CCDD">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rPr>
        <w:t>招</w:t>
      </w:r>
      <w:r>
        <w:rPr>
          <w:rFonts w:hint="eastAsia" w:ascii="宋体" w:hAnsi="宋体" w:cs="宋体"/>
          <w:color w:val="auto"/>
          <w:sz w:val="24"/>
          <w:highlight w:val="none"/>
          <w:u w:val="none"/>
        </w:rPr>
        <w:t xml:space="preserve">标代理机构：福建省宏瑞招标代理有限公司 </w:t>
      </w:r>
    </w:p>
    <w:p w14:paraId="7E232910">
      <w:pPr>
        <w:spacing w:line="360" w:lineRule="auto"/>
        <w:ind w:firstLine="480" w:firstLineChars="200"/>
        <w:rPr>
          <w:rFonts w:ascii="宋体" w:hAnsi="宋体" w:cs="宋体"/>
          <w:bCs/>
          <w:color w:val="auto"/>
          <w:sz w:val="24"/>
          <w:highlight w:val="none"/>
          <w:u w:val="none"/>
        </w:rPr>
      </w:pPr>
      <w:r>
        <w:rPr>
          <w:rFonts w:hint="eastAsia" w:ascii="宋体" w:hAnsi="宋体" w:cs="宋体"/>
          <w:color w:val="auto"/>
          <w:sz w:val="24"/>
          <w:highlight w:val="none"/>
          <w:u w:val="none"/>
        </w:rPr>
        <w:t>地  址：</w:t>
      </w:r>
      <w:r>
        <w:rPr>
          <w:rFonts w:hint="eastAsia" w:ascii="宋体" w:hAnsi="宋体"/>
          <w:bCs/>
          <w:color w:val="auto"/>
          <w:sz w:val="24"/>
          <w:highlight w:val="none"/>
          <w:u w:val="none"/>
        </w:rPr>
        <w:t>福建省福州市鼓楼区西洪路518号恩特楼A-402、403</w:t>
      </w:r>
    </w:p>
    <w:p w14:paraId="6BAAB153">
      <w:pPr>
        <w:tabs>
          <w:tab w:val="left" w:pos="3615"/>
        </w:tabs>
        <w:spacing w:line="360" w:lineRule="auto"/>
        <w:ind w:firstLine="480" w:firstLineChars="200"/>
        <w:rPr>
          <w:rFonts w:ascii="宋体" w:hAnsi="宋体" w:cs="宋体"/>
          <w:bCs/>
          <w:color w:val="auto"/>
          <w:sz w:val="24"/>
          <w:highlight w:val="none"/>
          <w:u w:val="none"/>
        </w:rPr>
      </w:pPr>
      <w:r>
        <w:rPr>
          <w:rFonts w:hint="eastAsia" w:ascii="宋体" w:hAnsi="宋体" w:cs="宋体"/>
          <w:bCs/>
          <w:color w:val="auto"/>
          <w:sz w:val="24"/>
          <w:highlight w:val="none"/>
          <w:u w:val="none"/>
        </w:rPr>
        <w:t xml:space="preserve">邮  编：350001     </w:t>
      </w:r>
      <w:r>
        <w:rPr>
          <w:rFonts w:hint="eastAsia" w:ascii="宋体" w:hAnsi="宋体" w:cs="宋体"/>
          <w:bCs/>
          <w:color w:val="auto"/>
          <w:sz w:val="24"/>
          <w:highlight w:val="none"/>
          <w:u w:val="none"/>
        </w:rPr>
        <w:tab/>
      </w:r>
    </w:p>
    <w:p w14:paraId="2E576AF6">
      <w:pPr>
        <w:spacing w:line="360" w:lineRule="auto"/>
        <w:ind w:firstLine="480" w:firstLineChars="200"/>
        <w:rPr>
          <w:rFonts w:hint="eastAsia" w:ascii="宋体" w:hAnsi="宋体" w:eastAsia="宋体" w:cs="宋体"/>
          <w:color w:val="auto"/>
          <w:sz w:val="24"/>
          <w:highlight w:val="none"/>
          <w:u w:val="none"/>
          <w:lang w:val="en-US" w:eastAsia="zh-CN"/>
        </w:rPr>
      </w:pPr>
      <w:r>
        <w:rPr>
          <w:rFonts w:hint="eastAsia" w:ascii="宋体" w:hAnsi="宋体" w:cs="宋体"/>
          <w:color w:val="auto"/>
          <w:sz w:val="24"/>
          <w:highlight w:val="none"/>
          <w:u w:val="none"/>
        </w:rPr>
        <w:t>电  话：</w:t>
      </w:r>
      <w:r>
        <w:rPr>
          <w:rFonts w:hint="eastAsia" w:ascii="宋体" w:hAnsi="宋体" w:cs="宋体"/>
          <w:color w:val="auto"/>
          <w:sz w:val="24"/>
          <w:highlight w:val="none"/>
          <w:u w:val="none"/>
          <w:lang w:val="en-US" w:eastAsia="zh-CN"/>
        </w:rPr>
        <w:t>18959173501、17750207868</w:t>
      </w:r>
    </w:p>
    <w:p w14:paraId="7E2E391A">
      <w:pPr>
        <w:spacing w:line="360" w:lineRule="auto"/>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u w:val="none"/>
        </w:rPr>
        <w:t>项目联系人：</w:t>
      </w:r>
      <w:r>
        <w:rPr>
          <w:rFonts w:hint="eastAsia" w:ascii="宋体" w:hAnsi="宋体" w:cs="宋体"/>
          <w:color w:val="auto"/>
          <w:sz w:val="24"/>
          <w:highlight w:val="none"/>
          <w:u w:val="none"/>
          <w:lang w:eastAsia="zh-CN"/>
        </w:rPr>
        <w:t>陈鹏辉</w:t>
      </w:r>
    </w:p>
    <w:p w14:paraId="23611B08">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电子邮箱：</w:t>
      </w:r>
      <w:r>
        <w:rPr>
          <w:color w:val="auto"/>
          <w:highlight w:val="none"/>
          <w:u w:val="none"/>
        </w:rPr>
        <w:fldChar w:fldCharType="begin"/>
      </w:r>
      <w:r>
        <w:rPr>
          <w:color w:val="auto"/>
          <w:highlight w:val="none"/>
          <w:u w:val="none"/>
        </w:rPr>
        <w:instrText xml:space="preserve"> HYPERLINK "mailto:fjhrzb@126.com" </w:instrText>
      </w:r>
      <w:r>
        <w:rPr>
          <w:color w:val="auto"/>
          <w:highlight w:val="none"/>
          <w:u w:val="none"/>
        </w:rPr>
        <w:fldChar w:fldCharType="separate"/>
      </w:r>
      <w:r>
        <w:rPr>
          <w:rStyle w:val="25"/>
          <w:rFonts w:hint="eastAsia" w:ascii="宋体" w:hAnsi="宋体" w:cs="宋体"/>
          <w:color w:val="auto"/>
          <w:sz w:val="24"/>
          <w:highlight w:val="none"/>
          <w:u w:val="none"/>
        </w:rPr>
        <w:t>fjhrzb@126.com</w:t>
      </w:r>
      <w:r>
        <w:rPr>
          <w:rStyle w:val="25"/>
          <w:rFonts w:hint="eastAsia" w:ascii="宋体" w:hAnsi="宋体" w:cs="宋体"/>
          <w:color w:val="auto"/>
          <w:sz w:val="24"/>
          <w:highlight w:val="none"/>
          <w:u w:val="none"/>
        </w:rPr>
        <w:fldChar w:fldCharType="end"/>
      </w:r>
    </w:p>
    <w:p w14:paraId="4901130C">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公司网址：</w:t>
      </w:r>
      <w:r>
        <w:rPr>
          <w:rFonts w:ascii="宋体" w:hAnsi="宋体" w:cs="宋体"/>
          <w:color w:val="auto"/>
          <w:sz w:val="24"/>
          <w:highlight w:val="none"/>
          <w:u w:val="none"/>
        </w:rPr>
        <w:t>http://www.fjhongrui.com</w:t>
      </w:r>
    </w:p>
    <w:p w14:paraId="1B937E0E">
      <w:pPr>
        <w:widowControl/>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银行账户信息：</w:t>
      </w:r>
    </w:p>
    <w:p w14:paraId="78408638">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开户行：</w:t>
      </w:r>
      <w:r>
        <w:rPr>
          <w:rFonts w:hint="eastAsia" w:ascii="宋体" w:hAnsi="宋体"/>
          <w:color w:val="auto"/>
          <w:sz w:val="24"/>
          <w:highlight w:val="none"/>
          <w:u w:val="none"/>
        </w:rPr>
        <w:t>中国建设银行股份有限公司福州杨桥支行</w:t>
      </w:r>
    </w:p>
    <w:p w14:paraId="3A6CC0AA">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 xml:space="preserve">开户名：福建省宏瑞招标代理有限公司 </w:t>
      </w:r>
    </w:p>
    <w:p w14:paraId="480D24FC">
      <w:pPr>
        <w:tabs>
          <w:tab w:val="left" w:pos="1096"/>
        </w:tabs>
        <w:ind w:firstLine="480" w:firstLineChars="200"/>
        <w:jc w:val="left"/>
        <w:rPr>
          <w:color w:val="auto"/>
          <w:highlight w:val="none"/>
          <w:u w:val="none"/>
        </w:rPr>
        <w:sectPr>
          <w:headerReference r:id="rId6" w:type="first"/>
          <w:footerReference r:id="rId8" w:type="first"/>
          <w:headerReference r:id="rId5" w:type="default"/>
          <w:footerReference r:id="rId7" w:type="default"/>
          <w:pgSz w:w="11907" w:h="16840"/>
          <w:pgMar w:top="1134" w:right="907" w:bottom="850" w:left="1134" w:header="680" w:footer="283" w:gutter="0"/>
          <w:pgNumType w:start="1"/>
          <w:cols w:space="720" w:num="1"/>
          <w:titlePg/>
          <w:rtlGutter w:val="1"/>
          <w:docGrid w:linePitch="312" w:charSpace="0"/>
        </w:sectPr>
      </w:pPr>
      <w:r>
        <w:rPr>
          <w:rFonts w:hint="eastAsia" w:ascii="宋体" w:hAnsi="宋体" w:cs="宋体"/>
          <w:color w:val="auto"/>
          <w:sz w:val="24"/>
          <w:highlight w:val="none"/>
          <w:u w:val="none"/>
        </w:rPr>
        <w:t>账号：</w:t>
      </w:r>
      <w:r>
        <w:rPr>
          <w:rFonts w:ascii="宋体" w:hAnsi="宋体" w:cs="宋体"/>
          <w:color w:val="auto"/>
          <w:sz w:val="24"/>
          <w:highlight w:val="none"/>
          <w:u w:val="none"/>
        </w:rPr>
        <w:t>35001877607052505105</w:t>
      </w:r>
    </w:p>
    <w:p w14:paraId="3E6538AB">
      <w:pPr>
        <w:pStyle w:val="17"/>
        <w:spacing w:before="0" w:beforeAutospacing="0" w:after="0" w:afterAutospacing="0"/>
        <w:ind w:firstLine="240" w:firstLineChars="100"/>
        <w:rPr>
          <w:bCs/>
          <w:color w:val="auto"/>
          <w:highlight w:val="none"/>
        </w:rPr>
      </w:pPr>
    </w:p>
    <w:p w14:paraId="4A8ADE2A">
      <w:pPr>
        <w:pStyle w:val="17"/>
        <w:spacing w:before="0" w:beforeAutospacing="0" w:after="0" w:afterAutospacing="0"/>
        <w:ind w:firstLine="240" w:firstLineChars="100"/>
        <w:rPr>
          <w:bCs/>
          <w:color w:val="auto"/>
          <w:highlight w:val="none"/>
        </w:rPr>
      </w:pPr>
    </w:p>
    <w:p w14:paraId="2EBF8DFB">
      <w:pPr>
        <w:pStyle w:val="17"/>
        <w:spacing w:before="0" w:beforeAutospacing="0" w:after="0" w:afterAutospacing="0"/>
        <w:rPr>
          <w:bCs/>
          <w:color w:val="auto"/>
          <w:highlight w:val="none"/>
        </w:rPr>
      </w:pPr>
    </w:p>
    <w:p w14:paraId="55F20D31">
      <w:pPr>
        <w:pStyle w:val="17"/>
        <w:spacing w:before="0" w:beforeAutospacing="0" w:after="0" w:afterAutospacing="0"/>
        <w:rPr>
          <w:bCs/>
          <w:color w:val="auto"/>
          <w:highlight w:val="none"/>
        </w:rPr>
      </w:pPr>
      <w:r>
        <w:rPr>
          <w:rFonts w:hint="eastAsia"/>
          <w:bCs/>
          <w:color w:val="auto"/>
          <w:highlight w:val="none"/>
        </w:rPr>
        <w:t>附：招标标的一览表</w:t>
      </w:r>
    </w:p>
    <w:p w14:paraId="6882AD69">
      <w:pPr>
        <w:pStyle w:val="17"/>
        <w:spacing w:before="0" w:beforeAutospacing="0" w:after="0" w:afterAutospacing="0"/>
        <w:jc w:val="right"/>
        <w:rPr>
          <w:bCs/>
          <w:color w:val="auto"/>
          <w:highlight w:val="none"/>
        </w:rPr>
      </w:pPr>
      <w:r>
        <w:rPr>
          <w:rFonts w:hint="eastAsia"/>
          <w:bCs/>
          <w:color w:val="auto"/>
          <w:highlight w:val="none"/>
        </w:rPr>
        <w:t xml:space="preserve">金额单位：人民币 </w:t>
      </w:r>
    </w:p>
    <w:tbl>
      <w:tblPr>
        <w:tblStyle w:val="20"/>
        <w:tblW w:w="51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660"/>
        <w:gridCol w:w="1405"/>
        <w:gridCol w:w="1426"/>
        <w:gridCol w:w="2485"/>
        <w:gridCol w:w="1939"/>
        <w:gridCol w:w="1894"/>
      </w:tblGrid>
      <w:tr w14:paraId="650A4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 w:type="pct"/>
            <w:noWrap/>
            <w:vAlign w:val="center"/>
          </w:tcPr>
          <w:p w14:paraId="032DCE26">
            <w:pPr>
              <w:spacing w:line="24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合同包</w:t>
            </w:r>
          </w:p>
        </w:tc>
        <w:tc>
          <w:tcPr>
            <w:tcW w:w="318" w:type="pct"/>
            <w:noWrap/>
            <w:vAlign w:val="center"/>
          </w:tcPr>
          <w:p w14:paraId="1BE01566">
            <w:pPr>
              <w:spacing w:line="24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品目号</w:t>
            </w:r>
          </w:p>
        </w:tc>
        <w:tc>
          <w:tcPr>
            <w:tcW w:w="678" w:type="pct"/>
            <w:noWrap/>
            <w:vAlign w:val="center"/>
          </w:tcPr>
          <w:p w14:paraId="13E85EB3">
            <w:pPr>
              <w:spacing w:line="240" w:lineRule="auto"/>
              <w:jc w:val="center"/>
              <w:rPr>
                <w:rFonts w:hint="default" w:ascii="宋体" w:hAnsi="宋体" w:eastAsia="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品目名称</w:t>
            </w:r>
          </w:p>
        </w:tc>
        <w:tc>
          <w:tcPr>
            <w:tcW w:w="688" w:type="pct"/>
            <w:noWrap/>
            <w:vAlign w:val="center"/>
          </w:tcPr>
          <w:p w14:paraId="1E6AA8BB">
            <w:pPr>
              <w:spacing w:line="240" w:lineRule="auto"/>
              <w:jc w:val="center"/>
              <w:rPr>
                <w:rFonts w:ascii="宋体" w:hAnsi="宋体" w:cs="宋体"/>
                <w:b/>
                <w:bCs w:val="0"/>
                <w:color w:val="auto"/>
                <w:sz w:val="24"/>
                <w:highlight w:val="none"/>
              </w:rPr>
            </w:pPr>
            <w:r>
              <w:rPr>
                <w:rFonts w:hint="eastAsia" w:ascii="宋体" w:hAnsi="宋体" w:cs="宋体"/>
                <w:b/>
                <w:bCs w:val="0"/>
                <w:color w:val="auto"/>
                <w:sz w:val="24"/>
                <w:highlight w:val="none"/>
              </w:rPr>
              <w:t>标的名称</w:t>
            </w:r>
          </w:p>
        </w:tc>
        <w:tc>
          <w:tcPr>
            <w:tcW w:w="1200" w:type="pct"/>
            <w:noWrap/>
            <w:vAlign w:val="center"/>
          </w:tcPr>
          <w:p w14:paraId="1733D4B1">
            <w:pPr>
              <w:spacing w:line="240" w:lineRule="auto"/>
              <w:jc w:val="center"/>
              <w:rPr>
                <w:rFonts w:hint="eastAsia" w:ascii="宋体" w:hAnsi="宋体" w:eastAsia="宋体" w:cs="宋体"/>
                <w:b/>
                <w:bCs w:val="0"/>
                <w:color w:val="auto"/>
                <w:kern w:val="0"/>
                <w:sz w:val="24"/>
                <w:highlight w:val="none"/>
                <w:lang w:eastAsia="zh-CN"/>
              </w:rPr>
            </w:pPr>
            <w:r>
              <w:rPr>
                <w:rFonts w:hint="eastAsia" w:ascii="宋体" w:hAnsi="宋体" w:cs="宋体"/>
                <w:b/>
                <w:bCs w:val="0"/>
                <w:color w:val="auto"/>
                <w:kern w:val="0"/>
                <w:sz w:val="24"/>
                <w:highlight w:val="none"/>
                <w:lang w:eastAsia="zh-CN"/>
              </w:rPr>
              <w:t>服务期限</w:t>
            </w:r>
          </w:p>
        </w:tc>
        <w:tc>
          <w:tcPr>
            <w:tcW w:w="936" w:type="pct"/>
            <w:noWrap/>
            <w:vAlign w:val="center"/>
          </w:tcPr>
          <w:p w14:paraId="1C7B97B6">
            <w:pPr>
              <w:spacing w:line="240" w:lineRule="auto"/>
              <w:jc w:val="center"/>
              <w:rPr>
                <w:rFonts w:hint="eastAsia" w:ascii="宋体" w:hAnsi="宋体" w:cs="宋体"/>
                <w:b/>
                <w:bCs w:val="0"/>
                <w:color w:val="auto"/>
                <w:kern w:val="0"/>
                <w:sz w:val="24"/>
                <w:highlight w:val="none"/>
                <w:lang w:eastAsia="zh-CN"/>
              </w:rPr>
            </w:pPr>
            <w:r>
              <w:rPr>
                <w:rFonts w:hint="eastAsia" w:ascii="宋体" w:hAnsi="宋体" w:cs="宋体"/>
                <w:b/>
                <w:bCs w:val="0"/>
                <w:color w:val="auto"/>
                <w:kern w:val="0"/>
                <w:sz w:val="24"/>
                <w:highlight w:val="none"/>
                <w:lang w:eastAsia="zh-CN"/>
              </w:rPr>
              <w:t>预算金额</w:t>
            </w:r>
          </w:p>
          <w:p w14:paraId="130742D1">
            <w:pPr>
              <w:spacing w:line="240" w:lineRule="auto"/>
              <w:jc w:val="center"/>
              <w:rPr>
                <w:rFonts w:hint="eastAsia" w:ascii="宋体" w:hAnsi="宋体" w:eastAsia="宋体" w:cs="宋体"/>
                <w:b/>
                <w:bCs w:val="0"/>
                <w:color w:val="auto"/>
                <w:kern w:val="0"/>
                <w:sz w:val="24"/>
                <w:highlight w:val="none"/>
                <w:lang w:eastAsia="zh-CN"/>
              </w:rPr>
            </w:pP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rPr>
              <w:t>最高限价</w:t>
            </w:r>
            <w:r>
              <w:rPr>
                <w:rFonts w:hint="eastAsia" w:ascii="宋体" w:hAnsi="宋体" w:cs="宋体"/>
                <w:b/>
                <w:bCs w:val="0"/>
                <w:color w:val="auto"/>
                <w:kern w:val="0"/>
                <w:sz w:val="24"/>
                <w:highlight w:val="none"/>
                <w:lang w:eastAsia="zh-CN"/>
              </w:rPr>
              <w:t>）</w:t>
            </w:r>
          </w:p>
        </w:tc>
        <w:tc>
          <w:tcPr>
            <w:tcW w:w="914" w:type="pct"/>
            <w:noWrap/>
            <w:vAlign w:val="center"/>
          </w:tcPr>
          <w:p w14:paraId="22BF34E0">
            <w:pPr>
              <w:spacing w:line="240" w:lineRule="auto"/>
              <w:jc w:val="center"/>
              <w:rPr>
                <w:rFonts w:hint="eastAsia" w:ascii="宋体" w:hAnsi="宋体" w:eastAsia="宋体" w:cs="宋体"/>
                <w:b/>
                <w:bCs w:val="0"/>
                <w:color w:val="auto"/>
                <w:sz w:val="24"/>
                <w:highlight w:val="none"/>
                <w:lang w:eastAsia="zh-CN"/>
              </w:rPr>
            </w:pPr>
            <w:r>
              <w:rPr>
                <w:rFonts w:hint="eastAsia" w:ascii="宋体" w:hAnsi="宋体" w:cs="宋体"/>
                <w:b/>
                <w:bCs w:val="0"/>
                <w:color w:val="auto"/>
                <w:sz w:val="24"/>
                <w:highlight w:val="none"/>
              </w:rPr>
              <w:t>投标保证金</w:t>
            </w:r>
          </w:p>
        </w:tc>
      </w:tr>
      <w:tr w14:paraId="24EE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62" w:type="pct"/>
            <w:noWrap/>
            <w:vAlign w:val="center"/>
          </w:tcPr>
          <w:p w14:paraId="31C81C8F">
            <w:pPr>
              <w:spacing w:line="240" w:lineRule="auto"/>
              <w:jc w:val="center"/>
              <w:rPr>
                <w:rFonts w:ascii="宋体" w:hAnsi="宋体" w:cs="宋体"/>
                <w:bCs/>
                <w:color w:val="auto"/>
                <w:sz w:val="24"/>
                <w:highlight w:val="none"/>
              </w:rPr>
            </w:pPr>
            <w:r>
              <w:rPr>
                <w:rFonts w:hint="eastAsia" w:ascii="宋体" w:hAnsi="宋体" w:cs="宋体"/>
                <w:bCs/>
                <w:color w:val="auto"/>
                <w:kern w:val="0"/>
                <w:sz w:val="24"/>
                <w:highlight w:val="none"/>
              </w:rPr>
              <w:t>1</w:t>
            </w:r>
          </w:p>
        </w:tc>
        <w:tc>
          <w:tcPr>
            <w:tcW w:w="318" w:type="pct"/>
            <w:noWrap/>
            <w:vAlign w:val="center"/>
          </w:tcPr>
          <w:p w14:paraId="1AD550C6">
            <w:pPr>
              <w:spacing w:line="240" w:lineRule="auto"/>
              <w:jc w:val="center"/>
              <w:rPr>
                <w:rFonts w:ascii="宋体" w:hAnsi="宋体" w:cs="宋体"/>
                <w:bCs/>
                <w:color w:val="auto"/>
                <w:sz w:val="24"/>
                <w:highlight w:val="none"/>
              </w:rPr>
            </w:pPr>
            <w:r>
              <w:rPr>
                <w:rFonts w:hint="eastAsia" w:ascii="宋体" w:hAnsi="宋体" w:cs="宋体"/>
                <w:bCs/>
                <w:color w:val="auto"/>
                <w:kern w:val="0"/>
                <w:sz w:val="24"/>
                <w:highlight w:val="none"/>
              </w:rPr>
              <w:t>1-1</w:t>
            </w:r>
          </w:p>
        </w:tc>
        <w:tc>
          <w:tcPr>
            <w:tcW w:w="678" w:type="pct"/>
            <w:noWrap/>
            <w:vAlign w:val="center"/>
          </w:tcPr>
          <w:p w14:paraId="4D7B0A52">
            <w:pPr>
              <w:spacing w:line="240" w:lineRule="auto"/>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C22040000 餐饮服务</w:t>
            </w:r>
          </w:p>
        </w:tc>
        <w:tc>
          <w:tcPr>
            <w:tcW w:w="688" w:type="pct"/>
            <w:noWrap/>
            <w:vAlign w:val="center"/>
          </w:tcPr>
          <w:p w14:paraId="4CCA7935">
            <w:pPr>
              <w:widowControl/>
              <w:spacing w:line="240" w:lineRule="auto"/>
              <w:jc w:val="center"/>
              <w:textAlignment w:val="center"/>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食堂服务外包项目</w:t>
            </w:r>
          </w:p>
        </w:tc>
        <w:tc>
          <w:tcPr>
            <w:tcW w:w="1200" w:type="pct"/>
            <w:noWrap/>
            <w:vAlign w:val="center"/>
          </w:tcPr>
          <w:p w14:paraId="2C3E67C4">
            <w:pPr>
              <w:widowControl/>
              <w:spacing w:line="240" w:lineRule="auto"/>
              <w:jc w:val="center"/>
              <w:textAlignment w:val="center"/>
              <w:rPr>
                <w:rFonts w:hint="eastAsia" w:ascii="宋体" w:hAnsi="宋体" w:cs="宋体" w:eastAsiaTheme="minorEastAsia"/>
                <w:bCs/>
                <w:color w:val="auto"/>
                <w:kern w:val="0"/>
                <w:sz w:val="24"/>
                <w:highlight w:val="none"/>
                <w:lang w:val="en-US" w:eastAsia="zh-CN"/>
              </w:rPr>
            </w:pPr>
            <w:r>
              <w:rPr>
                <w:rFonts w:hint="eastAsia" w:ascii="宋体" w:hAnsi="宋体" w:cs="宋体"/>
                <w:bCs/>
                <w:color w:val="auto"/>
                <w:kern w:val="0"/>
                <w:sz w:val="24"/>
                <w:highlight w:val="none"/>
                <w:lang w:val="en-US" w:eastAsia="zh-CN"/>
              </w:rPr>
              <w:t>2年。具体起始时间以合同签订时间为准</w:t>
            </w:r>
          </w:p>
        </w:tc>
        <w:tc>
          <w:tcPr>
            <w:tcW w:w="936" w:type="pct"/>
            <w:noWrap/>
            <w:vAlign w:val="center"/>
          </w:tcPr>
          <w:p w14:paraId="144B446D">
            <w:pPr>
              <w:widowControl/>
              <w:spacing w:line="240" w:lineRule="auto"/>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2893800元</w:t>
            </w:r>
          </w:p>
        </w:tc>
        <w:tc>
          <w:tcPr>
            <w:tcW w:w="914" w:type="pct"/>
            <w:noWrap/>
            <w:vAlign w:val="center"/>
          </w:tcPr>
          <w:p w14:paraId="2D4ACC7F">
            <w:pPr>
              <w:widowControl/>
              <w:spacing w:line="240" w:lineRule="auto"/>
              <w:jc w:val="center"/>
              <w:textAlignment w:val="center"/>
              <w:rPr>
                <w:rFonts w:hint="default" w:ascii="宋体" w:hAnsi="宋体" w:eastAsia="宋体" w:cs="宋体"/>
                <w:bCs/>
                <w:color w:val="auto"/>
                <w:kern w:val="0"/>
                <w:sz w:val="24"/>
                <w:highlight w:val="none"/>
                <w:lang w:val="en-US" w:eastAsia="zh-CN"/>
              </w:rPr>
            </w:pPr>
            <w:r>
              <w:rPr>
                <w:rFonts w:hint="eastAsia" w:ascii="宋体" w:hAnsi="宋体" w:cs="宋体"/>
                <w:bCs/>
                <w:color w:val="auto"/>
                <w:kern w:val="0"/>
                <w:sz w:val="24"/>
                <w:highlight w:val="none"/>
                <w:lang w:val="en-US" w:eastAsia="zh-CN"/>
              </w:rPr>
              <w:t>28938元</w:t>
            </w:r>
          </w:p>
        </w:tc>
      </w:tr>
    </w:tbl>
    <w:p w14:paraId="6D9E7F18">
      <w:pPr>
        <w:spacing w:line="360" w:lineRule="auto"/>
        <w:rPr>
          <w:rFonts w:hint="eastAsia" w:ascii="宋体" w:hAnsi="宋体"/>
          <w:b w:val="0"/>
          <w:bCs/>
          <w:color w:val="auto"/>
          <w:sz w:val="24"/>
          <w:highlight w:val="none"/>
        </w:rPr>
      </w:pPr>
      <w:r>
        <w:rPr>
          <w:rFonts w:hint="eastAsia" w:ascii="宋体" w:hAnsi="宋体"/>
          <w:b w:val="0"/>
          <w:bCs/>
          <w:color w:val="auto"/>
          <w:sz w:val="24"/>
          <w:highlight w:val="none"/>
        </w:rPr>
        <w:t>注：</w:t>
      </w:r>
    </w:p>
    <w:p w14:paraId="6A8401B9">
      <w:pPr>
        <w:numPr>
          <w:ilvl w:val="0"/>
          <w:numId w:val="0"/>
        </w:numPr>
        <w:spacing w:line="360" w:lineRule="auto"/>
        <w:ind w:firstLine="480" w:firstLineChars="200"/>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bidi="ar-SA"/>
        </w:rPr>
        <w:t>1、</w:t>
      </w:r>
      <w:r>
        <w:rPr>
          <w:rFonts w:hint="eastAsia" w:ascii="宋体" w:hAnsi="宋体" w:eastAsia="宋体" w:cs="宋体"/>
          <w:color w:val="auto"/>
          <w:sz w:val="24"/>
          <w:szCs w:val="24"/>
          <w:highlight w:val="none"/>
        </w:rPr>
        <w:t>投标人须按合同包投标，对同一个合同包内所有内容投标时必须完整。不得仅对一个合同包中的部分内容进行投标，否则按无效投标处理。评标与授标以合同包为单位。</w:t>
      </w:r>
    </w:p>
    <w:p w14:paraId="064070DF">
      <w:pPr>
        <w:spacing w:line="360" w:lineRule="auto"/>
        <w:ind w:firstLine="480"/>
        <w:rPr>
          <w:rFonts w:ascii="宋体" w:hAnsi="宋体" w:cs="宋体"/>
          <w:color w:val="auto"/>
          <w:kern w:val="1"/>
          <w:sz w:val="24"/>
          <w:highlight w:val="none"/>
        </w:rPr>
      </w:pPr>
      <w:r>
        <w:rPr>
          <w:rFonts w:hint="eastAsia" w:ascii="宋体" w:hAnsi="宋体" w:eastAsia="宋体" w:cs="宋体"/>
          <w:color w:val="auto"/>
          <w:kern w:val="1"/>
          <w:sz w:val="24"/>
          <w:szCs w:val="24"/>
          <w:highlight w:val="none"/>
          <w:lang w:val="en-US" w:eastAsia="zh-CN" w:bidi="ar-SA"/>
        </w:rPr>
        <w:t>2、</w:t>
      </w:r>
      <w:r>
        <w:rPr>
          <w:rFonts w:hint="eastAsia" w:ascii="宋体" w:hAnsi="宋体" w:cs="宋体"/>
          <w:color w:val="auto"/>
          <w:kern w:val="1"/>
          <w:sz w:val="24"/>
          <w:highlight w:val="none"/>
        </w:rPr>
        <w:t>投标人</w:t>
      </w:r>
      <w:r>
        <w:rPr>
          <w:rFonts w:ascii="宋体" w:hAnsi="宋体" w:cs="宋体"/>
          <w:color w:val="auto"/>
          <w:kern w:val="1"/>
          <w:sz w:val="24"/>
          <w:highlight w:val="none"/>
        </w:rPr>
        <w:t>须保障招标人在使用该货物或其任何一部分时不受到第三方关于侵犯专利权、商标权或工业设计权等知识产权的指控。如果任何第三方提出侵权指控与招标人无关，</w:t>
      </w:r>
      <w:r>
        <w:rPr>
          <w:rFonts w:hint="eastAsia" w:ascii="宋体" w:hAnsi="宋体" w:cs="宋体"/>
          <w:color w:val="auto"/>
          <w:kern w:val="1"/>
          <w:sz w:val="24"/>
          <w:highlight w:val="none"/>
        </w:rPr>
        <w:t>投标人</w:t>
      </w:r>
      <w:r>
        <w:rPr>
          <w:rFonts w:ascii="宋体" w:hAnsi="宋体" w:cs="宋体"/>
          <w:color w:val="auto"/>
          <w:kern w:val="1"/>
          <w:sz w:val="24"/>
          <w:highlight w:val="none"/>
        </w:rPr>
        <w:t>须与第三方交涉并承担可能发生的责任与一切费用。如招标人因此而遭致损失的，</w:t>
      </w:r>
      <w:r>
        <w:rPr>
          <w:rFonts w:hint="eastAsia" w:ascii="宋体" w:hAnsi="宋体" w:cs="宋体"/>
          <w:color w:val="auto"/>
          <w:kern w:val="1"/>
          <w:sz w:val="24"/>
          <w:highlight w:val="none"/>
        </w:rPr>
        <w:t>投标人</w:t>
      </w:r>
      <w:r>
        <w:rPr>
          <w:rFonts w:ascii="宋体" w:hAnsi="宋体" w:cs="宋体"/>
          <w:color w:val="auto"/>
          <w:kern w:val="1"/>
          <w:sz w:val="24"/>
          <w:highlight w:val="none"/>
        </w:rPr>
        <w:t>应赔偿该损失。</w:t>
      </w:r>
    </w:p>
    <w:p w14:paraId="76FF28D2">
      <w:pPr>
        <w:pStyle w:val="31"/>
        <w:spacing w:line="360" w:lineRule="exact"/>
        <w:jc w:val="center"/>
        <w:outlineLvl w:val="0"/>
        <w:rPr>
          <w:rFonts w:hAnsi="宋体"/>
          <w:color w:val="auto"/>
          <w:highlight w:val="none"/>
        </w:rPr>
      </w:pPr>
      <w:bookmarkStart w:id="1" w:name="_Toc8962"/>
      <w:r>
        <w:rPr>
          <w:rFonts w:hint="eastAsia" w:hAnsi="宋体"/>
          <w:b/>
          <w:color w:val="auto"/>
          <w:sz w:val="36"/>
          <w:highlight w:val="none"/>
        </w:rPr>
        <w:t>第二章  投标人须知</w:t>
      </w:r>
      <w:bookmarkEnd w:id="1"/>
    </w:p>
    <w:p w14:paraId="5854FEA4">
      <w:pPr>
        <w:spacing w:line="480" w:lineRule="exact"/>
        <w:ind w:firstLine="475" w:firstLineChars="197"/>
        <w:jc w:val="center"/>
        <w:outlineLvl w:val="1"/>
        <w:rPr>
          <w:rFonts w:ascii="宋体" w:hAnsi="宋体"/>
          <w:b/>
          <w:color w:val="auto"/>
          <w:sz w:val="24"/>
          <w:highlight w:val="none"/>
        </w:rPr>
      </w:pPr>
      <w:bookmarkStart w:id="2" w:name="_Toc18066"/>
      <w:bookmarkStart w:id="3" w:name="_Toc13337"/>
      <w:r>
        <w:rPr>
          <w:rFonts w:hint="eastAsia" w:ascii="宋体" w:hAnsi="宋体"/>
          <w:b/>
          <w:color w:val="auto"/>
          <w:sz w:val="24"/>
          <w:highlight w:val="none"/>
        </w:rPr>
        <w:t>投标人须知前附表</w:t>
      </w:r>
      <w:bookmarkEnd w:id="2"/>
      <w:bookmarkEnd w:id="3"/>
    </w:p>
    <w:p w14:paraId="001ACC34">
      <w:pPr>
        <w:spacing w:line="480" w:lineRule="exact"/>
        <w:ind w:firstLine="472" w:firstLineChars="197"/>
        <w:rPr>
          <w:rFonts w:ascii="宋体" w:hAnsi="宋体"/>
          <w:color w:val="auto"/>
          <w:sz w:val="24"/>
          <w:highlight w:val="none"/>
        </w:rPr>
      </w:pPr>
      <w:r>
        <w:rPr>
          <w:rFonts w:hint="eastAsia" w:ascii="宋体" w:hAnsi="宋体"/>
          <w:color w:val="auto"/>
          <w:sz w:val="24"/>
          <w:highlight w:val="none"/>
        </w:rPr>
        <w:t>本须知前附表的项号内容与招标文件内容如有矛盾，应以本须知前附表为准。</w:t>
      </w:r>
    </w:p>
    <w:tbl>
      <w:tblPr>
        <w:tblStyle w:val="20"/>
        <w:tblW w:w="1007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899"/>
        <w:gridCol w:w="8579"/>
      </w:tblGrid>
      <w:tr w14:paraId="7B0C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598" w:type="dxa"/>
            <w:noWrap/>
            <w:vAlign w:val="center"/>
          </w:tcPr>
          <w:p w14:paraId="21C67348">
            <w:pPr>
              <w:spacing w:line="360" w:lineRule="auto"/>
              <w:jc w:val="center"/>
              <w:rPr>
                <w:rFonts w:ascii="宋体" w:hAnsi="宋体"/>
                <w:b/>
                <w:color w:val="auto"/>
                <w:sz w:val="24"/>
                <w:highlight w:val="none"/>
              </w:rPr>
            </w:pPr>
            <w:r>
              <w:rPr>
                <w:rFonts w:hint="eastAsia" w:ascii="宋体" w:hAnsi="宋体"/>
                <w:b/>
                <w:color w:val="auto"/>
                <w:sz w:val="24"/>
                <w:highlight w:val="none"/>
              </w:rPr>
              <w:t>项号</w:t>
            </w:r>
          </w:p>
        </w:tc>
        <w:tc>
          <w:tcPr>
            <w:tcW w:w="899" w:type="dxa"/>
            <w:noWrap/>
            <w:vAlign w:val="center"/>
          </w:tcPr>
          <w:p w14:paraId="1B63BF0C">
            <w:pPr>
              <w:spacing w:line="300" w:lineRule="exact"/>
              <w:jc w:val="center"/>
              <w:rPr>
                <w:rFonts w:ascii="宋体" w:hAnsi="宋体"/>
                <w:b/>
                <w:color w:val="auto"/>
                <w:sz w:val="24"/>
                <w:highlight w:val="none"/>
              </w:rPr>
            </w:pPr>
            <w:r>
              <w:rPr>
                <w:rFonts w:hint="eastAsia" w:ascii="宋体" w:hAnsi="宋体"/>
                <w:b/>
                <w:color w:val="auto"/>
                <w:sz w:val="24"/>
                <w:highlight w:val="none"/>
              </w:rPr>
              <w:t>条</w:t>
            </w:r>
          </w:p>
          <w:p w14:paraId="6E39899A">
            <w:pPr>
              <w:spacing w:line="300" w:lineRule="exact"/>
              <w:jc w:val="center"/>
              <w:rPr>
                <w:rFonts w:ascii="宋体" w:hAnsi="宋体"/>
                <w:b/>
                <w:color w:val="auto"/>
                <w:sz w:val="24"/>
                <w:highlight w:val="none"/>
              </w:rPr>
            </w:pPr>
            <w:r>
              <w:rPr>
                <w:rFonts w:hint="eastAsia" w:ascii="宋体" w:hAnsi="宋体"/>
                <w:b/>
                <w:color w:val="auto"/>
                <w:sz w:val="24"/>
                <w:highlight w:val="none"/>
              </w:rPr>
              <w:t>款</w:t>
            </w:r>
          </w:p>
          <w:p w14:paraId="33610F6C">
            <w:pPr>
              <w:spacing w:line="300" w:lineRule="exact"/>
              <w:jc w:val="center"/>
              <w:rPr>
                <w:rFonts w:ascii="宋体" w:hAnsi="宋体"/>
                <w:b/>
                <w:color w:val="auto"/>
                <w:sz w:val="24"/>
                <w:highlight w:val="none"/>
              </w:rPr>
            </w:pPr>
            <w:r>
              <w:rPr>
                <w:rFonts w:hint="eastAsia" w:ascii="宋体" w:hAnsi="宋体"/>
                <w:b/>
                <w:color w:val="auto"/>
                <w:sz w:val="24"/>
                <w:highlight w:val="none"/>
              </w:rPr>
              <w:t>号</w:t>
            </w:r>
          </w:p>
        </w:tc>
        <w:tc>
          <w:tcPr>
            <w:tcW w:w="8579" w:type="dxa"/>
            <w:noWrap/>
            <w:vAlign w:val="center"/>
          </w:tcPr>
          <w:p w14:paraId="4B50C6E3">
            <w:pPr>
              <w:spacing w:line="480" w:lineRule="exact"/>
              <w:jc w:val="center"/>
              <w:rPr>
                <w:rFonts w:ascii="宋体" w:hAnsi="宋体"/>
                <w:b/>
                <w:color w:val="auto"/>
                <w:sz w:val="24"/>
                <w:highlight w:val="none"/>
              </w:rPr>
            </w:pPr>
            <w:r>
              <w:rPr>
                <w:rFonts w:hint="eastAsia" w:ascii="宋体" w:hAnsi="宋体"/>
                <w:b/>
                <w:color w:val="auto"/>
                <w:sz w:val="24"/>
                <w:highlight w:val="none"/>
              </w:rPr>
              <w:t>编列内容</w:t>
            </w:r>
          </w:p>
        </w:tc>
      </w:tr>
      <w:tr w14:paraId="2A3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98" w:type="dxa"/>
            <w:noWrap/>
            <w:vAlign w:val="center"/>
          </w:tcPr>
          <w:p w14:paraId="0C0C68E7">
            <w:pPr>
              <w:spacing w:line="480" w:lineRule="exact"/>
              <w:jc w:val="center"/>
              <w:rPr>
                <w:rFonts w:ascii="宋体" w:hAnsi="宋体"/>
                <w:color w:val="auto"/>
                <w:sz w:val="24"/>
                <w:highlight w:val="none"/>
              </w:rPr>
            </w:pPr>
            <w:r>
              <w:rPr>
                <w:rFonts w:ascii="宋体" w:hAnsi="宋体"/>
                <w:color w:val="auto"/>
                <w:sz w:val="24"/>
                <w:highlight w:val="none"/>
              </w:rPr>
              <w:t>1</w:t>
            </w:r>
          </w:p>
        </w:tc>
        <w:tc>
          <w:tcPr>
            <w:tcW w:w="899" w:type="dxa"/>
            <w:noWrap/>
            <w:vAlign w:val="center"/>
          </w:tcPr>
          <w:p w14:paraId="43F9B6EE">
            <w:pPr>
              <w:spacing w:line="480" w:lineRule="exact"/>
              <w:jc w:val="center"/>
              <w:rPr>
                <w:rFonts w:ascii="宋体" w:hAnsi="宋体"/>
                <w:color w:val="auto"/>
                <w:sz w:val="24"/>
                <w:highlight w:val="none"/>
              </w:rPr>
            </w:pPr>
          </w:p>
        </w:tc>
        <w:tc>
          <w:tcPr>
            <w:tcW w:w="8579" w:type="dxa"/>
            <w:noWrap/>
            <w:vAlign w:val="center"/>
          </w:tcPr>
          <w:p w14:paraId="2C24E761">
            <w:pPr>
              <w:pStyle w:val="8"/>
              <w:spacing w:line="360" w:lineRule="auto"/>
              <w:ind w:firstLine="0"/>
              <w:rPr>
                <w:rFonts w:hint="eastAsia" w:eastAsia="宋体"/>
                <w:color w:val="auto"/>
                <w:highlight w:val="none"/>
                <w:lang w:eastAsia="zh-CN"/>
              </w:rPr>
            </w:pPr>
            <w:r>
              <w:rPr>
                <w:rFonts w:hint="eastAsia"/>
                <w:color w:val="auto"/>
                <w:highlight w:val="none"/>
              </w:rPr>
              <w:t>项目名称：</w:t>
            </w:r>
            <w:r>
              <w:rPr>
                <w:rFonts w:hint="eastAsia"/>
                <w:color w:val="auto"/>
                <w:highlight w:val="none"/>
                <w:lang w:eastAsia="zh-CN"/>
              </w:rPr>
              <w:t>食堂服务外包项目</w:t>
            </w:r>
          </w:p>
          <w:p w14:paraId="27C26DB9">
            <w:pPr>
              <w:pStyle w:val="8"/>
              <w:spacing w:line="360" w:lineRule="auto"/>
              <w:ind w:firstLine="0"/>
              <w:rPr>
                <w:rFonts w:hint="eastAsia" w:eastAsia="宋体"/>
                <w:color w:val="auto"/>
                <w:highlight w:val="none"/>
                <w:lang w:eastAsia="zh-CN"/>
              </w:rPr>
            </w:pPr>
            <w:r>
              <w:rPr>
                <w:rFonts w:hint="eastAsia"/>
                <w:color w:val="auto"/>
                <w:highlight w:val="none"/>
              </w:rPr>
              <w:t>招标人名称：</w:t>
            </w:r>
            <w:r>
              <w:rPr>
                <w:rFonts w:hint="eastAsia"/>
                <w:color w:val="auto"/>
                <w:highlight w:val="none"/>
                <w:lang w:eastAsia="zh-CN"/>
              </w:rPr>
              <w:t>福建宏达机械有限公司</w:t>
            </w:r>
          </w:p>
          <w:p w14:paraId="1671AEE8">
            <w:pPr>
              <w:pStyle w:val="8"/>
              <w:spacing w:line="360" w:lineRule="auto"/>
              <w:ind w:firstLine="0"/>
              <w:rPr>
                <w:color w:val="auto"/>
                <w:highlight w:val="none"/>
              </w:rPr>
            </w:pPr>
            <w:r>
              <w:rPr>
                <w:rFonts w:hint="eastAsia"/>
                <w:color w:val="auto"/>
                <w:highlight w:val="none"/>
              </w:rPr>
              <w:t>项目内容：详见第三章招标内容及要求</w:t>
            </w:r>
          </w:p>
          <w:p w14:paraId="46ABCABA">
            <w:pPr>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项目编号：</w:t>
            </w:r>
            <w:r>
              <w:rPr>
                <w:rFonts w:hint="eastAsia" w:ascii="宋体" w:hAnsi="宋体"/>
                <w:color w:val="auto"/>
                <w:sz w:val="24"/>
                <w:highlight w:val="none"/>
                <w:lang w:eastAsia="zh-CN"/>
              </w:rPr>
              <w:t>FJHR2025070</w:t>
            </w:r>
          </w:p>
        </w:tc>
      </w:tr>
      <w:tr w14:paraId="640E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14:paraId="012483FB">
            <w:pPr>
              <w:spacing w:line="480" w:lineRule="exact"/>
              <w:jc w:val="center"/>
              <w:rPr>
                <w:rFonts w:ascii="宋体" w:hAnsi="宋体"/>
                <w:color w:val="auto"/>
                <w:sz w:val="24"/>
                <w:highlight w:val="none"/>
              </w:rPr>
            </w:pPr>
            <w:r>
              <w:rPr>
                <w:rFonts w:ascii="宋体" w:hAnsi="宋体"/>
                <w:color w:val="auto"/>
                <w:sz w:val="24"/>
                <w:highlight w:val="none"/>
              </w:rPr>
              <w:t>2</w:t>
            </w:r>
          </w:p>
        </w:tc>
        <w:tc>
          <w:tcPr>
            <w:tcW w:w="899" w:type="dxa"/>
            <w:noWrap/>
            <w:vAlign w:val="center"/>
          </w:tcPr>
          <w:p w14:paraId="018C098B">
            <w:pPr>
              <w:spacing w:line="480" w:lineRule="exact"/>
              <w:jc w:val="center"/>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p>
        </w:tc>
        <w:tc>
          <w:tcPr>
            <w:tcW w:w="8579" w:type="dxa"/>
            <w:noWrap/>
            <w:vAlign w:val="center"/>
          </w:tcPr>
          <w:p w14:paraId="10347301">
            <w:pPr>
              <w:widowControl/>
              <w:spacing w:line="360" w:lineRule="auto"/>
              <w:rPr>
                <w:rFonts w:ascii="宋体" w:hAnsi="宋体" w:cs="宋体"/>
                <w:color w:val="auto"/>
                <w:sz w:val="24"/>
                <w:highlight w:val="none"/>
              </w:rPr>
            </w:pPr>
            <w:r>
              <w:rPr>
                <w:rFonts w:hint="eastAsia" w:ascii="宋体" w:hAnsi="宋体" w:cs="宋体"/>
                <w:color w:val="auto"/>
                <w:sz w:val="24"/>
                <w:highlight w:val="none"/>
              </w:rPr>
              <w:t>合同包1资格标准：</w:t>
            </w:r>
          </w:p>
          <w:p w14:paraId="29F1A41B">
            <w:pPr>
              <w:widowControl/>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凡有能力提供本招标文件所述</w:t>
            </w:r>
            <w:r>
              <w:rPr>
                <w:rFonts w:hint="eastAsia" w:ascii="宋体" w:hAnsi="宋体" w:cs="宋体"/>
                <w:color w:val="auto"/>
                <w:sz w:val="24"/>
                <w:highlight w:val="none"/>
                <w:lang w:eastAsia="zh-CN"/>
              </w:rPr>
              <w:t>货物和</w:t>
            </w:r>
            <w:r>
              <w:rPr>
                <w:rFonts w:hint="eastAsia" w:ascii="宋体" w:hAnsi="宋体" w:eastAsia="宋体" w:cs="宋体"/>
                <w:color w:val="auto"/>
                <w:sz w:val="24"/>
                <w:highlight w:val="none"/>
              </w:rPr>
              <w:t>服务的境内制造商或经销商均可能成为合格的投标人。</w:t>
            </w:r>
          </w:p>
          <w:p w14:paraId="518C2945">
            <w:pPr>
              <w:widowControl/>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投标人须提交以下</w:t>
            </w:r>
            <w:r>
              <w:rPr>
                <w:rFonts w:hint="eastAsia" w:ascii="宋体" w:hAnsi="宋体" w:cs="宋体"/>
                <w:color w:val="auto"/>
                <w:sz w:val="24"/>
                <w:highlight w:val="none"/>
                <w:lang w:eastAsia="zh-CN"/>
              </w:rPr>
              <w:t>资格</w:t>
            </w:r>
            <w:r>
              <w:rPr>
                <w:rFonts w:hint="eastAsia" w:ascii="宋体" w:hAnsi="宋体" w:eastAsia="宋体" w:cs="宋体"/>
                <w:color w:val="auto"/>
                <w:sz w:val="24"/>
                <w:highlight w:val="none"/>
              </w:rPr>
              <w:t>证明文件：</w:t>
            </w:r>
          </w:p>
          <w:p w14:paraId="6D5E9C87">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）有效的营业执照复印件。</w:t>
            </w:r>
          </w:p>
          <w:p w14:paraId="7C7CE302">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）投标人法定代表人身份证正反面复印件；投标代表身份证正反面复印件及法定代表人授权书（投标人代表若为法定代表人则无需提供）。</w:t>
            </w:r>
          </w:p>
          <w:p w14:paraId="2ED25419">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投标人财务状况报告、依法缴纳税收和社会保障资金的相关材料：</w:t>
            </w:r>
          </w:p>
          <w:p w14:paraId="2FB2B6F5">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A、财务状况报告：提供经第三方会计师事务所审计并出具的</w:t>
            </w:r>
            <w:r>
              <w:rPr>
                <w:rFonts w:hint="eastAsia" w:ascii="宋体" w:hAnsi="宋体" w:cs="宋体"/>
                <w:color w:val="auto"/>
                <w:sz w:val="24"/>
                <w:highlight w:val="none"/>
                <w:lang w:val="en-US" w:eastAsia="zh-CN"/>
              </w:rPr>
              <w:t>2024年度</w:t>
            </w:r>
            <w:r>
              <w:rPr>
                <w:rFonts w:hint="eastAsia" w:ascii="宋体" w:hAnsi="宋体" w:eastAsia="宋体" w:cs="宋体"/>
                <w:color w:val="auto"/>
                <w:sz w:val="24"/>
                <w:highlight w:val="none"/>
              </w:rPr>
              <w:t>财务审计报告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至少包括“资产负债表、利润表、现金流量表、所有者权益变动表（若有）及其附注（若有）、会计师事务所营业执照和注册会计师资格证书”</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；或者提供开户银行出具的资信证明。</w:t>
            </w:r>
          </w:p>
          <w:p w14:paraId="66AA25B8">
            <w:pPr>
              <w:keepNext w:val="0"/>
              <w:keepLines w:val="0"/>
              <w:pageBreakBefore w:val="0"/>
              <w:widowControl/>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B、依法缴纳税收的相关材料：提供投标截止时间前六个月内任一个月（不含投标截止时间当月）的缴税证明。若为依法免税范围的投标人，提供依法免税证明材料的，视同满足本项资格条件要求。</w:t>
            </w:r>
          </w:p>
          <w:p w14:paraId="34C8B2D0">
            <w:pPr>
              <w:keepNext w:val="0"/>
              <w:keepLines w:val="0"/>
              <w:pageBreakBefore w:val="0"/>
              <w:widowControl/>
              <w:kinsoku/>
              <w:wordWrap/>
              <w:overflowPunct/>
              <w:topLinePunct w:val="0"/>
              <w:autoSpaceDE/>
              <w:autoSpaceDN/>
              <w:bidi w:val="0"/>
              <w:adjustRightInd/>
              <w:snapToGrid/>
              <w:spacing w:line="360" w:lineRule="auto"/>
              <w:ind w:left="0"/>
              <w:textAlignment w:val="auto"/>
              <w:rPr>
                <w:color w:val="auto"/>
                <w:sz w:val="24"/>
                <w:highlight w:val="none"/>
              </w:rPr>
            </w:pPr>
            <w:r>
              <w:rPr>
                <w:rFonts w:hint="eastAsia" w:ascii="宋体" w:hAnsi="宋体" w:eastAsia="宋体" w:cs="宋体"/>
                <w:color w:val="auto"/>
                <w:sz w:val="24"/>
                <w:highlight w:val="none"/>
              </w:rPr>
              <w:t xml:space="preserve">  C、依法缴纳社会保障资金的相关材料：提供投标截止时间前六个月任一个月（不含投标截止时间当月）的</w:t>
            </w:r>
            <w:r>
              <w:rPr>
                <w:rFonts w:hint="eastAsia"/>
                <w:color w:val="auto"/>
                <w:sz w:val="24"/>
                <w:highlight w:val="none"/>
              </w:rPr>
              <w:t>缴纳社会保险的凭据。若为依法不需要缴纳或暂缓缴纳社会保障资金的投标人，提供依法不需要缴纳或暂缓缴纳社会保障资金证明材料的，视同满足本项资格条件要求。</w:t>
            </w:r>
          </w:p>
          <w:p w14:paraId="60CFB009">
            <w:pPr>
              <w:widowControl/>
              <w:spacing w:line="360" w:lineRule="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4</w:t>
            </w:r>
            <w:r>
              <w:rPr>
                <w:rFonts w:hint="eastAsia"/>
                <w:color w:val="auto"/>
                <w:sz w:val="24"/>
                <w:highlight w:val="none"/>
                <w:lang w:eastAsia="zh-CN"/>
              </w:rPr>
              <w:t>）</w:t>
            </w:r>
            <w:r>
              <w:rPr>
                <w:rFonts w:hint="eastAsia"/>
                <w:color w:val="auto"/>
                <w:sz w:val="24"/>
                <w:highlight w:val="none"/>
              </w:rPr>
              <w:t>投标人须提供具备履行本项目所必需的设备及专业技术能力的声明函（格式详见第五章）</w:t>
            </w:r>
            <w:r>
              <w:rPr>
                <w:rFonts w:hint="eastAsia" w:ascii="宋体" w:hAnsi="宋体" w:cs="宋体"/>
                <w:color w:val="auto"/>
                <w:sz w:val="24"/>
                <w:highlight w:val="none"/>
              </w:rPr>
              <w:t>。</w:t>
            </w:r>
          </w:p>
          <w:p w14:paraId="4FB715CD">
            <w:pPr>
              <w:widowControl/>
              <w:spacing w:line="360" w:lineRule="auto"/>
              <w:rPr>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5</w:t>
            </w:r>
            <w:r>
              <w:rPr>
                <w:rFonts w:hint="eastAsia"/>
                <w:color w:val="auto"/>
                <w:sz w:val="24"/>
                <w:highlight w:val="none"/>
                <w:lang w:eastAsia="zh-CN"/>
              </w:rPr>
              <w:t>）</w:t>
            </w:r>
            <w:r>
              <w:rPr>
                <w:rFonts w:hint="eastAsia"/>
                <w:color w:val="auto"/>
                <w:sz w:val="24"/>
                <w:highlight w:val="none"/>
              </w:rPr>
              <w:t>投标人须提供</w:t>
            </w:r>
            <w:r>
              <w:rPr>
                <w:rFonts w:hint="eastAsia" w:ascii="宋体" w:hAnsi="宋体" w:cs="宋体"/>
                <w:color w:val="auto"/>
                <w:kern w:val="0"/>
                <w:sz w:val="24"/>
                <w:highlight w:val="none"/>
              </w:rPr>
              <w:t>参加本项目招标活动前三年内在经营活动中没有重大违法记录的声明</w:t>
            </w:r>
            <w:r>
              <w:rPr>
                <w:rFonts w:hint="eastAsia"/>
                <w:color w:val="auto"/>
                <w:sz w:val="24"/>
                <w:highlight w:val="none"/>
              </w:rPr>
              <w:t>函原件，格式详见招标文件第五章。</w:t>
            </w:r>
            <w:r>
              <w:rPr>
                <w:rFonts w:hint="eastAsia" w:ascii="宋体" w:hAnsi="宋体" w:cs="宋体"/>
                <w:color w:val="auto"/>
                <w:kern w:val="0"/>
                <w:sz w:val="24"/>
                <w:highlight w:val="none"/>
              </w:rPr>
              <w:t>重大违法记录是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F53E832">
            <w:pPr>
              <w:widowControl/>
              <w:spacing w:line="360" w:lineRule="auto"/>
              <w:rPr>
                <w:rFonts w:hint="eastAsia" w:ascii="宋体" w:hAnsi="宋体" w:cs="宋体"/>
                <w:color w:val="auto"/>
                <w:kern w:val="0"/>
                <w:sz w:val="24"/>
                <w:szCs w:val="24"/>
                <w:highlight w:val="none"/>
              </w:rPr>
            </w:pPr>
            <w:r>
              <w:rPr>
                <w:rFonts w:hint="eastAsia"/>
                <w:color w:val="auto"/>
                <w:sz w:val="24"/>
                <w:highlight w:val="none"/>
                <w:lang w:eastAsia="zh-CN"/>
              </w:rPr>
              <w:t>（</w:t>
            </w:r>
            <w:r>
              <w:rPr>
                <w:rFonts w:hint="eastAsia"/>
                <w:color w:val="auto"/>
                <w:sz w:val="24"/>
                <w:highlight w:val="none"/>
                <w:lang w:val="en-US" w:eastAsia="zh-CN"/>
              </w:rPr>
              <w:t>6</w:t>
            </w:r>
            <w:r>
              <w:rPr>
                <w:rFonts w:hint="eastAsia"/>
                <w:color w:val="auto"/>
                <w:sz w:val="24"/>
                <w:highlight w:val="none"/>
                <w:lang w:eastAsia="zh-CN"/>
              </w:rPr>
              <w:t>）</w:t>
            </w:r>
            <w:r>
              <w:rPr>
                <w:rFonts w:hint="eastAsia" w:ascii="宋体" w:hAnsi="宋体" w:cs="宋体"/>
                <w:color w:val="auto"/>
                <w:kern w:val="0"/>
                <w:sz w:val="24"/>
                <w:highlight w:val="none"/>
              </w:rPr>
              <w:t>信用记录查询结果：投标人无需在投标文件中提供，本项由评标委员会在评标现场查询。A.信用记录查询的截止时点：信用记录查询的截止时点为本项目投标截止当日。B.信用</w:t>
            </w:r>
            <w:r>
              <w:rPr>
                <w:rFonts w:hint="eastAsia" w:ascii="宋体" w:hAnsi="宋体" w:cs="宋体"/>
                <w:color w:val="auto"/>
                <w:kern w:val="0"/>
                <w:sz w:val="24"/>
                <w:szCs w:val="24"/>
                <w:highlight w:val="none"/>
              </w:rPr>
              <w:t>记录查询渠道：信用中国（www.creditchina.gov.cn）、中国政府采购网（www.ccgp.gov.cn）。 C.信用记录的查询：由评标委员会通过上述网站查询并打印投标人的信用记录。D.经查询，投标人参加本项目招标活动(投标截止时间)前三年内被列入失信被执行人名单、重大税收违法案件当事人名单、政府采购严重违法失信行为记录名单及其他重大违法记录且相关信用惩戒期限未满的，其资格审查不合格。</w:t>
            </w:r>
          </w:p>
          <w:p w14:paraId="07153B84">
            <w:pPr>
              <w:widowControl/>
              <w:spacing w:line="36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投标人须提供承诺函并承诺</w:t>
            </w:r>
            <w:r>
              <w:rPr>
                <w:rFonts w:hint="eastAsia" w:ascii="宋体" w:hAnsi="宋体" w:cs="宋体"/>
                <w:color w:val="auto"/>
                <w:kern w:val="0"/>
                <w:sz w:val="24"/>
                <w:szCs w:val="24"/>
                <w:highlight w:val="none"/>
                <w:lang w:eastAsia="zh-CN"/>
              </w:rPr>
              <w:t>投标文件</w:t>
            </w:r>
            <w:r>
              <w:rPr>
                <w:rFonts w:hint="eastAsia" w:ascii="宋体" w:hAnsi="宋体" w:cs="宋体"/>
                <w:color w:val="auto"/>
                <w:kern w:val="0"/>
                <w:sz w:val="24"/>
                <w:szCs w:val="24"/>
                <w:highlight w:val="none"/>
              </w:rPr>
              <w:t>递交截止时间当日未在景弘集团有限公司</w:t>
            </w:r>
            <w:r>
              <w:rPr>
                <w:rFonts w:hint="eastAsia" w:ascii="宋体" w:hAnsi="宋体" w:cs="宋体"/>
                <w:color w:val="auto"/>
                <w:kern w:val="0"/>
                <w:sz w:val="24"/>
                <w:szCs w:val="24"/>
                <w:highlight w:val="none"/>
                <w:lang w:val="en-US" w:eastAsia="zh-CN"/>
              </w:rPr>
              <w:t>和福建宏达机械有限公司</w:t>
            </w:r>
            <w:r>
              <w:rPr>
                <w:rFonts w:hint="eastAsia" w:ascii="宋体" w:hAnsi="宋体" w:cs="宋体"/>
                <w:color w:val="auto"/>
                <w:kern w:val="0"/>
                <w:sz w:val="24"/>
                <w:szCs w:val="24"/>
                <w:highlight w:val="none"/>
                <w:lang w:eastAsia="zh-CN"/>
              </w:rPr>
              <w:t>不良行为记录名单</w:t>
            </w:r>
            <w:r>
              <w:rPr>
                <w:rFonts w:hint="eastAsia" w:ascii="宋体" w:hAnsi="宋体" w:cs="宋体"/>
                <w:color w:val="auto"/>
                <w:kern w:val="0"/>
                <w:sz w:val="24"/>
                <w:szCs w:val="24"/>
                <w:highlight w:val="none"/>
              </w:rPr>
              <w:t>内（格式详见第五章）。</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u w:val="single"/>
                <w:lang w:eastAsia="zh-CN"/>
              </w:rPr>
              <w:t>特定资格条件：</w:t>
            </w:r>
            <w:r>
              <w:rPr>
                <w:rFonts w:hint="eastAsia" w:ascii="宋体" w:hAnsi="宋体" w:cs="宋体"/>
                <w:color w:val="auto"/>
                <w:sz w:val="24"/>
                <w:highlight w:val="none"/>
                <w:u w:val="single"/>
              </w:rPr>
              <w:t>投标人须提供有效期内的《食品经营许可证》或《食品药品生产经营许可证》，须提供证件</w:t>
            </w:r>
            <w:r>
              <w:rPr>
                <w:rFonts w:hint="eastAsia" w:ascii="宋体" w:hAnsi="宋体" w:cs="宋体"/>
                <w:color w:val="auto"/>
                <w:sz w:val="24"/>
                <w:highlight w:val="none"/>
                <w:u w:val="single"/>
                <w:lang w:eastAsia="zh-CN"/>
              </w:rPr>
              <w:t>复印件</w:t>
            </w:r>
            <w:r>
              <w:rPr>
                <w:rFonts w:hint="eastAsia" w:ascii="宋体" w:hAnsi="宋体" w:cs="宋体"/>
                <w:color w:val="auto"/>
                <w:sz w:val="24"/>
                <w:highlight w:val="none"/>
                <w:u w:val="single"/>
              </w:rPr>
              <w:t>。在投标截止时间前，如因国家政策调整，国家有关行政部门有颁发新的食品方面许可证书的，应从其规定，投标人须在投标文件中做出书面说明。</w:t>
            </w:r>
          </w:p>
          <w:p w14:paraId="0EC8BD20">
            <w:pPr>
              <w:widowControl/>
              <w:spacing w:line="360" w:lineRule="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本项目不接受联合体投标。</w:t>
            </w:r>
          </w:p>
          <w:p w14:paraId="261A1BB7">
            <w:pPr>
              <w:widowControl/>
              <w:spacing w:line="360" w:lineRule="auto"/>
              <w:rPr>
                <w:color w:val="auto"/>
                <w:sz w:val="24"/>
                <w:highlight w:val="none"/>
              </w:rPr>
            </w:pPr>
            <w:r>
              <w:rPr>
                <w:rFonts w:hint="eastAsia"/>
                <w:color w:val="auto"/>
                <w:sz w:val="24"/>
                <w:highlight w:val="none"/>
              </w:rPr>
              <w:t>注：</w:t>
            </w:r>
          </w:p>
          <w:p w14:paraId="46EB24D7">
            <w:pPr>
              <w:spacing w:line="360" w:lineRule="auto"/>
              <w:rPr>
                <w:rFonts w:ascii="宋体" w:hAnsi="宋体" w:cs="宋体"/>
                <w:b/>
                <w:bCs/>
                <w:color w:val="auto"/>
                <w:sz w:val="24"/>
                <w:highlight w:val="none"/>
                <w:u w:val="double"/>
              </w:rPr>
            </w:pPr>
            <w:r>
              <w:rPr>
                <w:rFonts w:hint="eastAsia" w:ascii="宋体" w:hAnsi="宋体" w:cs="宋体"/>
                <w:color w:val="auto"/>
                <w:sz w:val="24"/>
                <w:highlight w:val="none"/>
              </w:rPr>
              <w:t>1.投标人必须同时满足以上所有的资格要求并按招标文件要求提供材料，所有提供的相关资质证明文件应属法定有效期内（</w:t>
            </w:r>
            <w:r>
              <w:rPr>
                <w:rFonts w:hint="eastAsia" w:ascii="宋体" w:hAnsi="宋体"/>
                <w:color w:val="auto"/>
                <w:sz w:val="24"/>
                <w:highlight w:val="none"/>
              </w:rPr>
              <w:t>因</w:t>
            </w:r>
            <w:r>
              <w:rPr>
                <w:rFonts w:hint="eastAsia" w:ascii="宋体" w:hAnsi="宋体"/>
                <w:color w:val="auto"/>
                <w:sz w:val="24"/>
                <w:highlight w:val="none"/>
                <w:lang w:eastAsia="zh-CN"/>
              </w:rPr>
              <w:t>国家政策</w:t>
            </w:r>
            <w:r>
              <w:rPr>
                <w:rFonts w:hint="eastAsia" w:ascii="宋体" w:hAnsi="宋体"/>
                <w:color w:val="auto"/>
                <w:sz w:val="24"/>
                <w:highlight w:val="none"/>
              </w:rPr>
              <w:t>原因造成各类资格资质证书到期无法及时年审的，投标人须在投标文件技术商务部分中提供相关管理部门政策并进行书面说明</w:t>
            </w:r>
            <w:r>
              <w:rPr>
                <w:rFonts w:hint="eastAsia" w:ascii="宋体" w:hAnsi="宋体" w:cs="宋体"/>
                <w:color w:val="auto"/>
                <w:sz w:val="24"/>
                <w:highlight w:val="none"/>
              </w:rPr>
              <w:t>）。若发生变更的，应按有关规定办理完变更手续后方可参加投标，并以发证机关核准的变更为准。</w:t>
            </w:r>
            <w:r>
              <w:rPr>
                <w:rFonts w:hint="eastAsia" w:ascii="宋体" w:hAnsi="宋体" w:cs="宋体"/>
                <w:b/>
                <w:bCs/>
                <w:color w:val="auto"/>
                <w:sz w:val="24"/>
                <w:highlight w:val="none"/>
                <w:u w:val="double"/>
              </w:rPr>
              <w:t>投标人提供的所有资格证明文件应是完整的、有效的、清晰的，否则按无效投标处理。</w:t>
            </w:r>
          </w:p>
          <w:p w14:paraId="171359F3">
            <w:pPr>
              <w:widowControl/>
              <w:spacing w:line="360" w:lineRule="auto"/>
              <w:rPr>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招标文件要求投标人提供复印件的，投标人在投标文件中提供原件、复印件（含扫描件）皆可；招标文件对原件、复印件未作要求的，投标人在投标文件中提供原件、复印件（含扫描件）皆可。但若投标人提供注明“复印件无效”或“复印无效”的证明材料或资料的，则应在其投标文件正本中提供该证明材料或资料的原件</w:t>
            </w:r>
            <w:r>
              <w:rPr>
                <w:rStyle w:val="23"/>
                <w:rFonts w:hint="eastAsia" w:ascii="宋体" w:hAnsi="宋体" w:cs="宋体"/>
                <w:bCs/>
                <w:color w:val="auto"/>
                <w:sz w:val="24"/>
                <w:highlight w:val="none"/>
                <w:u w:val="double"/>
              </w:rPr>
              <w:t>（评标委员会将核对投标文件正本，未提供原件的证明材料或资料将导致投标无效）。</w:t>
            </w:r>
          </w:p>
        </w:tc>
      </w:tr>
      <w:tr w14:paraId="016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98" w:type="dxa"/>
            <w:noWrap/>
            <w:vAlign w:val="center"/>
          </w:tcPr>
          <w:p w14:paraId="73EA7161">
            <w:pPr>
              <w:spacing w:line="480" w:lineRule="exact"/>
              <w:jc w:val="center"/>
              <w:rPr>
                <w:rFonts w:ascii="宋体" w:hAnsi="宋体"/>
                <w:color w:val="auto"/>
                <w:sz w:val="24"/>
                <w:highlight w:val="none"/>
              </w:rPr>
            </w:pPr>
            <w:r>
              <w:rPr>
                <w:rFonts w:ascii="宋体" w:hAnsi="宋体"/>
                <w:color w:val="auto"/>
                <w:sz w:val="24"/>
                <w:highlight w:val="none"/>
              </w:rPr>
              <w:t>3</w:t>
            </w:r>
          </w:p>
        </w:tc>
        <w:tc>
          <w:tcPr>
            <w:tcW w:w="899" w:type="dxa"/>
            <w:noWrap/>
            <w:vAlign w:val="center"/>
          </w:tcPr>
          <w:p w14:paraId="21F49B6E">
            <w:pPr>
              <w:spacing w:line="480" w:lineRule="exact"/>
              <w:jc w:val="center"/>
              <w:rPr>
                <w:rFonts w:ascii="宋体" w:hAnsi="宋体"/>
                <w:color w:val="auto"/>
                <w:sz w:val="24"/>
                <w:highlight w:val="none"/>
              </w:rPr>
            </w:pPr>
            <w:r>
              <w:rPr>
                <w:rFonts w:hint="eastAsia" w:ascii="宋体" w:hAnsi="宋体"/>
                <w:color w:val="auto"/>
                <w:sz w:val="24"/>
                <w:highlight w:val="none"/>
              </w:rPr>
              <w:t>11.1</w:t>
            </w:r>
          </w:p>
        </w:tc>
        <w:tc>
          <w:tcPr>
            <w:tcW w:w="8579" w:type="dxa"/>
            <w:noWrap/>
            <w:vAlign w:val="center"/>
          </w:tcPr>
          <w:p w14:paraId="0F83CE6B">
            <w:pPr>
              <w:spacing w:line="360" w:lineRule="auto"/>
              <w:rPr>
                <w:rFonts w:ascii="宋体" w:hAnsi="宋体"/>
                <w:color w:val="auto"/>
                <w:sz w:val="24"/>
                <w:highlight w:val="none"/>
              </w:rPr>
            </w:pPr>
            <w:r>
              <w:rPr>
                <w:rFonts w:hint="eastAsia" w:ascii="宋体" w:hAnsi="宋体"/>
                <w:color w:val="auto"/>
                <w:sz w:val="24"/>
                <w:highlight w:val="none"/>
              </w:rPr>
              <w:t>投标有效期：投标截止时间起90个日历日。</w:t>
            </w:r>
          </w:p>
          <w:p w14:paraId="43D1123B">
            <w:pPr>
              <w:spacing w:line="360" w:lineRule="auto"/>
              <w:rPr>
                <w:rFonts w:ascii="宋体" w:hAnsi="宋体"/>
                <w:color w:val="auto"/>
                <w:sz w:val="24"/>
                <w:highlight w:val="none"/>
              </w:rPr>
            </w:pPr>
            <w:r>
              <w:rPr>
                <w:rFonts w:hint="eastAsia" w:ascii="宋体" w:hAnsi="宋体"/>
                <w:color w:val="auto"/>
                <w:sz w:val="24"/>
                <w:highlight w:val="none"/>
              </w:rPr>
              <w:t>有效期不足将导致其投标文件无效。</w:t>
            </w:r>
          </w:p>
        </w:tc>
      </w:tr>
      <w:tr w14:paraId="175A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14:paraId="18DFC00D">
            <w:pPr>
              <w:spacing w:line="480" w:lineRule="exact"/>
              <w:jc w:val="center"/>
              <w:rPr>
                <w:rFonts w:ascii="宋体" w:hAnsi="宋体"/>
                <w:color w:val="auto"/>
                <w:sz w:val="24"/>
                <w:highlight w:val="none"/>
              </w:rPr>
            </w:pPr>
            <w:r>
              <w:rPr>
                <w:rFonts w:ascii="宋体" w:hAnsi="宋体"/>
                <w:color w:val="auto"/>
                <w:sz w:val="24"/>
                <w:highlight w:val="none"/>
              </w:rPr>
              <w:t>4</w:t>
            </w:r>
          </w:p>
        </w:tc>
        <w:tc>
          <w:tcPr>
            <w:tcW w:w="899" w:type="dxa"/>
            <w:noWrap/>
            <w:vAlign w:val="center"/>
          </w:tcPr>
          <w:p w14:paraId="16B3F46E">
            <w:pPr>
              <w:spacing w:line="480" w:lineRule="exact"/>
              <w:rPr>
                <w:rFonts w:ascii="宋体" w:hAnsi="宋体"/>
                <w:color w:val="auto"/>
                <w:sz w:val="24"/>
                <w:highlight w:val="none"/>
              </w:rPr>
            </w:pPr>
          </w:p>
        </w:tc>
        <w:tc>
          <w:tcPr>
            <w:tcW w:w="8579" w:type="dxa"/>
            <w:noWrap/>
            <w:vAlign w:val="center"/>
          </w:tcPr>
          <w:p w14:paraId="77D71154">
            <w:pPr>
              <w:spacing w:line="360" w:lineRule="auto"/>
              <w:rPr>
                <w:rFonts w:ascii="宋体" w:hAnsi="宋体"/>
                <w:b/>
                <w:color w:val="auto"/>
                <w:sz w:val="24"/>
                <w:highlight w:val="none"/>
                <w:shd w:val="pct10" w:color="auto" w:fill="FFFFFF"/>
              </w:rPr>
            </w:pPr>
            <w:r>
              <w:rPr>
                <w:rFonts w:hint="eastAsia" w:ascii="宋体" w:hAnsi="宋体"/>
                <w:color w:val="auto"/>
                <w:spacing w:val="-4"/>
                <w:sz w:val="24"/>
                <w:highlight w:val="none"/>
              </w:rPr>
              <w:t>投标文件递交地址：</w:t>
            </w:r>
            <w:r>
              <w:rPr>
                <w:rFonts w:hint="eastAsia" w:ascii="宋体" w:hAnsi="宋体"/>
                <w:b/>
                <w:color w:val="auto"/>
                <w:sz w:val="24"/>
                <w:highlight w:val="none"/>
                <w:shd w:val="pct10" w:color="auto" w:fill="FFFFFF"/>
              </w:rPr>
              <w:t>福建省宏瑞招标代理有限公司开标大厅（福建省福州市鼓楼区西洪路518号恩特楼A-403）。</w:t>
            </w:r>
          </w:p>
          <w:p w14:paraId="655F6469">
            <w:pPr>
              <w:spacing w:line="360" w:lineRule="auto"/>
              <w:rPr>
                <w:rFonts w:ascii="宋体" w:hAnsi="宋体"/>
                <w:color w:val="auto"/>
                <w:sz w:val="24"/>
                <w:highlight w:val="none"/>
              </w:rPr>
            </w:pPr>
            <w:r>
              <w:rPr>
                <w:rFonts w:hint="eastAsia" w:ascii="宋体" w:hAnsi="宋体"/>
                <w:color w:val="auto"/>
                <w:sz w:val="24"/>
                <w:highlight w:val="none"/>
              </w:rPr>
              <w:t>接收人：</w:t>
            </w:r>
            <w:r>
              <w:rPr>
                <w:rFonts w:hint="eastAsia" w:ascii="宋体" w:hAnsi="宋体"/>
                <w:color w:val="auto"/>
                <w:sz w:val="24"/>
                <w:highlight w:val="none"/>
                <w:shd w:val="pct10" w:color="auto" w:fill="FFFFFF"/>
              </w:rPr>
              <w:t>福建省宏瑞招标代理有限公司工作人员</w:t>
            </w:r>
          </w:p>
          <w:p w14:paraId="1B275941">
            <w:pPr>
              <w:spacing w:line="360" w:lineRule="auto"/>
              <w:rPr>
                <w:rFonts w:ascii="宋体" w:hAnsi="宋体"/>
                <w:color w:val="auto"/>
                <w:sz w:val="24"/>
                <w:highlight w:val="none"/>
              </w:rPr>
            </w:pPr>
            <w:r>
              <w:rPr>
                <w:rFonts w:hint="eastAsia" w:ascii="宋体" w:hAnsi="宋体"/>
                <w:color w:val="auto"/>
                <w:sz w:val="24"/>
                <w:highlight w:val="none"/>
              </w:rPr>
              <w:t>投标截止时间：[202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tc>
      </w:tr>
      <w:tr w14:paraId="43CB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98" w:type="dxa"/>
            <w:noWrap/>
            <w:vAlign w:val="center"/>
          </w:tcPr>
          <w:p w14:paraId="51AD1F1D">
            <w:pPr>
              <w:spacing w:line="480" w:lineRule="exact"/>
              <w:jc w:val="center"/>
              <w:rPr>
                <w:rFonts w:ascii="宋体" w:hAnsi="宋体"/>
                <w:color w:val="auto"/>
                <w:sz w:val="24"/>
                <w:highlight w:val="none"/>
              </w:rPr>
            </w:pPr>
            <w:r>
              <w:rPr>
                <w:rFonts w:hint="eastAsia" w:ascii="宋体" w:hAnsi="宋体"/>
                <w:color w:val="auto"/>
                <w:sz w:val="24"/>
                <w:highlight w:val="none"/>
              </w:rPr>
              <w:t>5</w:t>
            </w:r>
          </w:p>
        </w:tc>
        <w:tc>
          <w:tcPr>
            <w:tcW w:w="899" w:type="dxa"/>
            <w:noWrap/>
            <w:vAlign w:val="center"/>
          </w:tcPr>
          <w:p w14:paraId="333DBB5D">
            <w:pPr>
              <w:spacing w:line="480" w:lineRule="exact"/>
              <w:rPr>
                <w:rFonts w:ascii="宋体" w:hAnsi="宋体"/>
                <w:color w:val="auto"/>
                <w:sz w:val="24"/>
                <w:highlight w:val="none"/>
              </w:rPr>
            </w:pPr>
          </w:p>
        </w:tc>
        <w:tc>
          <w:tcPr>
            <w:tcW w:w="8579" w:type="dxa"/>
            <w:noWrap/>
            <w:vAlign w:val="center"/>
          </w:tcPr>
          <w:p w14:paraId="4983E3C1">
            <w:pPr>
              <w:tabs>
                <w:tab w:val="left" w:pos="6660"/>
              </w:tabs>
              <w:spacing w:line="360" w:lineRule="auto"/>
              <w:rPr>
                <w:rFonts w:ascii="宋体" w:hAnsi="宋体"/>
                <w:color w:val="auto"/>
                <w:sz w:val="24"/>
                <w:highlight w:val="none"/>
              </w:rPr>
            </w:pPr>
            <w:r>
              <w:rPr>
                <w:rFonts w:hint="eastAsia" w:ascii="宋体" w:hAnsi="宋体"/>
                <w:color w:val="auto"/>
                <w:sz w:val="24"/>
                <w:highlight w:val="none"/>
              </w:rPr>
              <w:t>开标时间：[202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]（北京时间）；</w:t>
            </w:r>
          </w:p>
          <w:p w14:paraId="36DCE450">
            <w:pPr>
              <w:spacing w:line="360" w:lineRule="auto"/>
              <w:rPr>
                <w:rFonts w:ascii="宋体" w:hAnsi="宋体"/>
                <w:color w:val="auto"/>
                <w:spacing w:val="-4"/>
                <w:sz w:val="24"/>
                <w:highlight w:val="none"/>
              </w:rPr>
            </w:pPr>
            <w:r>
              <w:rPr>
                <w:rFonts w:hint="eastAsia" w:ascii="宋体" w:hAnsi="宋体"/>
                <w:color w:val="auto"/>
                <w:sz w:val="24"/>
                <w:highlight w:val="none"/>
              </w:rPr>
              <w:t>开标地点：</w:t>
            </w:r>
            <w:r>
              <w:rPr>
                <w:rFonts w:hint="eastAsia" w:ascii="宋体" w:hAnsi="宋体"/>
                <w:b/>
                <w:color w:val="auto"/>
                <w:sz w:val="24"/>
                <w:highlight w:val="none"/>
                <w:shd w:val="pct10" w:color="auto" w:fill="FFFFFF"/>
              </w:rPr>
              <w:t>福建省宏瑞招标代理有限公司开标大厅（福建省福州市鼓楼区西洪路518号恩特楼A-403）。</w:t>
            </w:r>
          </w:p>
        </w:tc>
      </w:tr>
      <w:tr w14:paraId="7406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9" w:hRule="atLeast"/>
        </w:trPr>
        <w:tc>
          <w:tcPr>
            <w:tcW w:w="598" w:type="dxa"/>
            <w:noWrap/>
            <w:vAlign w:val="center"/>
          </w:tcPr>
          <w:p w14:paraId="6C124E37">
            <w:pPr>
              <w:spacing w:line="480" w:lineRule="exact"/>
              <w:jc w:val="center"/>
              <w:rPr>
                <w:rFonts w:ascii="宋体" w:hAnsi="宋体"/>
                <w:color w:val="auto"/>
                <w:sz w:val="24"/>
                <w:highlight w:val="none"/>
              </w:rPr>
            </w:pPr>
            <w:r>
              <w:rPr>
                <w:rFonts w:hint="eastAsia" w:ascii="宋体" w:hAnsi="宋体"/>
                <w:color w:val="auto"/>
                <w:sz w:val="24"/>
                <w:highlight w:val="none"/>
              </w:rPr>
              <w:t>6</w:t>
            </w:r>
          </w:p>
        </w:tc>
        <w:tc>
          <w:tcPr>
            <w:tcW w:w="899" w:type="dxa"/>
            <w:noWrap/>
            <w:vAlign w:val="center"/>
          </w:tcPr>
          <w:p w14:paraId="43139BF1">
            <w:pPr>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8579" w:type="dxa"/>
            <w:noWrap/>
            <w:vAlign w:val="center"/>
          </w:tcPr>
          <w:p w14:paraId="0CAB69B6">
            <w:pPr>
              <w:tabs>
                <w:tab w:val="left" w:pos="6660"/>
              </w:tabs>
              <w:spacing w:line="360" w:lineRule="auto"/>
              <w:rPr>
                <w:rFonts w:ascii="宋体" w:hAnsi="宋体"/>
                <w:color w:val="auto"/>
                <w:sz w:val="24"/>
                <w:highlight w:val="none"/>
              </w:rPr>
            </w:pPr>
            <w:r>
              <w:rPr>
                <w:rFonts w:hint="eastAsia" w:ascii="宋体" w:hAnsi="宋体"/>
                <w:color w:val="auto"/>
                <w:sz w:val="24"/>
                <w:highlight w:val="none"/>
              </w:rPr>
              <w:t>投标保证金：</w:t>
            </w:r>
          </w:p>
          <w:p w14:paraId="295C3FEC">
            <w:pPr>
              <w:tabs>
                <w:tab w:val="left" w:pos="6660"/>
              </w:tabs>
              <w:spacing w:line="360" w:lineRule="auto"/>
              <w:rPr>
                <w:rFonts w:ascii="宋体" w:hAnsi="宋体"/>
                <w:color w:val="auto"/>
                <w:sz w:val="24"/>
                <w:highlight w:val="none"/>
              </w:rPr>
            </w:pPr>
            <w:r>
              <w:rPr>
                <w:rFonts w:hint="eastAsia" w:ascii="宋体" w:hAnsi="宋体"/>
                <w:color w:val="auto"/>
                <w:sz w:val="24"/>
                <w:highlight w:val="none"/>
              </w:rPr>
              <w:t>(1)投标保证金的形式：以投标人公司名义按银行转账、电汇等非现金方式(不接受现金、现金存款方式)形式提交。</w:t>
            </w:r>
          </w:p>
          <w:p w14:paraId="4E994C4E">
            <w:pPr>
              <w:tabs>
                <w:tab w:val="left" w:pos="6660"/>
              </w:tabs>
              <w:spacing w:line="360" w:lineRule="auto"/>
              <w:rPr>
                <w:rFonts w:ascii="宋体" w:hAnsi="宋体"/>
                <w:color w:val="auto"/>
                <w:sz w:val="24"/>
                <w:highlight w:val="none"/>
              </w:rPr>
            </w:pPr>
            <w:r>
              <w:rPr>
                <w:rFonts w:hint="eastAsia" w:ascii="宋体" w:hAnsi="宋体"/>
                <w:color w:val="auto"/>
                <w:sz w:val="24"/>
                <w:highlight w:val="none"/>
              </w:rPr>
              <w:t>(2)投标保证金金额：详见第一章“招标标的一览表”。</w:t>
            </w:r>
          </w:p>
          <w:p w14:paraId="54C26EEE">
            <w:pPr>
              <w:tabs>
                <w:tab w:val="left" w:pos="6660"/>
              </w:tabs>
              <w:spacing w:line="360" w:lineRule="auto"/>
              <w:rPr>
                <w:rFonts w:ascii="宋体" w:hAnsi="宋体"/>
                <w:b/>
                <w:bCs/>
                <w:color w:val="auto"/>
                <w:sz w:val="24"/>
                <w:highlight w:val="none"/>
              </w:rPr>
            </w:pPr>
            <w:r>
              <w:rPr>
                <w:rFonts w:hint="eastAsia" w:ascii="宋体" w:hAnsi="宋体"/>
                <w:color w:val="auto"/>
                <w:sz w:val="24"/>
                <w:highlight w:val="none"/>
              </w:rPr>
              <w:t>(3)以银行转账、电汇等非现金方式提交投标保证金的：各投标人应保证投标保证金于投标截止时间（开标时间）前以对公形式到达福建省宏瑞招标代理有限公司指定账户上，并以银行提供的投标保证金到账时间为依据进行确认。</w:t>
            </w:r>
            <w:r>
              <w:rPr>
                <w:rFonts w:hint="eastAsia" w:ascii="宋体" w:hAnsi="宋体"/>
                <w:b/>
                <w:bCs/>
                <w:color w:val="auto"/>
                <w:sz w:val="24"/>
                <w:highlight w:val="none"/>
              </w:rPr>
              <w:t>投标保证金未按前述规定</w:t>
            </w:r>
            <w:r>
              <w:rPr>
                <w:rFonts w:hint="eastAsia" w:ascii="宋体" w:hAnsi="宋体"/>
                <w:b/>
                <w:bCs/>
                <w:color w:val="auto"/>
                <w:sz w:val="24"/>
                <w:highlight w:val="none"/>
                <w:lang w:eastAsia="zh-CN"/>
              </w:rPr>
              <w:t>提交</w:t>
            </w:r>
            <w:r>
              <w:rPr>
                <w:rFonts w:hint="eastAsia" w:ascii="宋体" w:hAnsi="宋体"/>
                <w:b/>
                <w:bCs/>
                <w:color w:val="auto"/>
                <w:sz w:val="24"/>
                <w:highlight w:val="none"/>
              </w:rPr>
              <w:t>的，投标文件将被拒收。</w:t>
            </w:r>
          </w:p>
          <w:p w14:paraId="139927F0">
            <w:pPr>
              <w:tabs>
                <w:tab w:val="left" w:pos="6660"/>
              </w:tabs>
              <w:spacing w:line="360" w:lineRule="auto"/>
              <w:rPr>
                <w:color w:val="auto"/>
                <w:highlight w:val="none"/>
              </w:rPr>
            </w:pPr>
            <w:r>
              <w:rPr>
                <w:rFonts w:hint="eastAsia" w:ascii="宋体" w:hAnsi="宋体"/>
                <w:color w:val="auto"/>
                <w:sz w:val="24"/>
                <w:highlight w:val="none"/>
              </w:rPr>
              <w:t>(4)投标保证金的退还：招标代理机构应当自中标通知书发出之日起5个工作日内退还未中标人的投标保证金，自合同签订之日起5个工作日内退还中标人的投标保证金。</w:t>
            </w:r>
          </w:p>
        </w:tc>
      </w:tr>
      <w:tr w14:paraId="4C827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98" w:type="dxa"/>
            <w:noWrap/>
            <w:vAlign w:val="center"/>
          </w:tcPr>
          <w:p w14:paraId="4778CAC5">
            <w:pPr>
              <w:spacing w:line="480" w:lineRule="exact"/>
              <w:jc w:val="center"/>
              <w:rPr>
                <w:rFonts w:ascii="宋体" w:hAnsi="宋体"/>
                <w:color w:val="auto"/>
                <w:sz w:val="24"/>
                <w:highlight w:val="none"/>
              </w:rPr>
            </w:pPr>
            <w:r>
              <w:rPr>
                <w:rFonts w:hint="eastAsia" w:ascii="宋体" w:hAnsi="宋体"/>
                <w:color w:val="auto"/>
                <w:sz w:val="24"/>
                <w:highlight w:val="none"/>
              </w:rPr>
              <w:t>7</w:t>
            </w:r>
          </w:p>
        </w:tc>
        <w:tc>
          <w:tcPr>
            <w:tcW w:w="899" w:type="dxa"/>
            <w:noWrap/>
            <w:vAlign w:val="center"/>
          </w:tcPr>
          <w:p w14:paraId="34285318">
            <w:pPr>
              <w:spacing w:line="480" w:lineRule="exact"/>
              <w:jc w:val="center"/>
              <w:rPr>
                <w:rFonts w:ascii="宋体" w:hAnsi="宋体"/>
                <w:color w:val="auto"/>
                <w:sz w:val="24"/>
                <w:highlight w:val="none"/>
              </w:rPr>
            </w:pPr>
          </w:p>
        </w:tc>
        <w:tc>
          <w:tcPr>
            <w:tcW w:w="8579" w:type="dxa"/>
            <w:noWrap/>
            <w:vAlign w:val="center"/>
          </w:tcPr>
          <w:p w14:paraId="3D83F614">
            <w:pPr>
              <w:tabs>
                <w:tab w:val="left" w:pos="6660"/>
              </w:tabs>
              <w:spacing w:line="360" w:lineRule="auto"/>
              <w:rPr>
                <w:rFonts w:ascii="宋体" w:hAnsi="宋体"/>
                <w:color w:val="auto"/>
                <w:sz w:val="24"/>
                <w:highlight w:val="none"/>
              </w:rPr>
            </w:pPr>
            <w:r>
              <w:rPr>
                <w:rFonts w:hint="eastAsia" w:ascii="宋体" w:hAnsi="宋体"/>
                <w:color w:val="auto"/>
                <w:sz w:val="24"/>
                <w:highlight w:val="none"/>
              </w:rPr>
              <w:t>中标通知书：</w:t>
            </w:r>
          </w:p>
          <w:p w14:paraId="370D5D05">
            <w:pPr>
              <w:tabs>
                <w:tab w:val="left" w:pos="6660"/>
              </w:tabs>
              <w:spacing w:line="360" w:lineRule="auto"/>
              <w:rPr>
                <w:rFonts w:ascii="宋体" w:hAnsi="宋体"/>
                <w:color w:val="auto"/>
                <w:sz w:val="24"/>
                <w:highlight w:val="none"/>
              </w:rPr>
            </w:pPr>
            <w:r>
              <w:rPr>
                <w:rFonts w:hint="eastAsia" w:ascii="宋体" w:hAnsi="宋体"/>
                <w:color w:val="auto"/>
                <w:sz w:val="24"/>
                <w:highlight w:val="none"/>
              </w:rPr>
              <w:t>(1)《中标通知书》的领取：由投标代表本人持服务费全额转账凭证及身份证复印件(加盖公章)至福建省宏瑞招标代理有限公司领取中标通知书；</w:t>
            </w:r>
          </w:p>
          <w:p w14:paraId="48BBCE62">
            <w:pPr>
              <w:tabs>
                <w:tab w:val="left" w:pos="6660"/>
              </w:tabs>
              <w:spacing w:line="360" w:lineRule="auto"/>
              <w:rPr>
                <w:rFonts w:ascii="宋体" w:hAnsi="宋体"/>
                <w:b/>
                <w:color w:val="auto"/>
                <w:sz w:val="24"/>
                <w:highlight w:val="none"/>
              </w:rPr>
            </w:pPr>
            <w:r>
              <w:rPr>
                <w:rFonts w:hint="eastAsia" w:ascii="宋体" w:hAnsi="宋体"/>
                <w:color w:val="auto"/>
                <w:sz w:val="24"/>
                <w:highlight w:val="none"/>
              </w:rPr>
              <w:t>(2)若非投标代表本人领取，须携带服务费全额转账凭证、领取人身份证复印件(加盖公章)及中标人出具的《委托书》至福建省宏瑞招标代理有限公司领取。</w:t>
            </w:r>
          </w:p>
        </w:tc>
      </w:tr>
      <w:tr w14:paraId="6C94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98" w:type="dxa"/>
            <w:noWrap/>
            <w:vAlign w:val="center"/>
          </w:tcPr>
          <w:p w14:paraId="1D059C2A">
            <w:pPr>
              <w:spacing w:line="480" w:lineRule="exact"/>
              <w:jc w:val="center"/>
              <w:rPr>
                <w:rFonts w:ascii="宋体" w:hAnsi="宋体"/>
                <w:color w:val="auto"/>
                <w:sz w:val="24"/>
                <w:highlight w:val="none"/>
              </w:rPr>
            </w:pPr>
            <w:r>
              <w:rPr>
                <w:rFonts w:hint="eastAsia" w:ascii="宋体" w:hAnsi="宋体"/>
                <w:color w:val="auto"/>
                <w:sz w:val="24"/>
                <w:highlight w:val="none"/>
              </w:rPr>
              <w:t>8</w:t>
            </w:r>
          </w:p>
        </w:tc>
        <w:tc>
          <w:tcPr>
            <w:tcW w:w="899" w:type="dxa"/>
            <w:noWrap/>
            <w:vAlign w:val="center"/>
          </w:tcPr>
          <w:p w14:paraId="3992FF17">
            <w:pPr>
              <w:tabs>
                <w:tab w:val="left" w:pos="6660"/>
              </w:tabs>
              <w:spacing w:line="400" w:lineRule="exact"/>
              <w:rPr>
                <w:rFonts w:ascii="宋体" w:hAnsi="宋体"/>
                <w:color w:val="auto"/>
                <w:sz w:val="24"/>
                <w:highlight w:val="none"/>
              </w:rPr>
            </w:pPr>
            <w:r>
              <w:rPr>
                <w:rFonts w:hint="eastAsia" w:ascii="宋体" w:hAnsi="宋体"/>
                <w:color w:val="auto"/>
                <w:sz w:val="24"/>
                <w:highlight w:val="none"/>
              </w:rPr>
              <w:t>附件A</w:t>
            </w:r>
          </w:p>
        </w:tc>
        <w:tc>
          <w:tcPr>
            <w:tcW w:w="8579" w:type="dxa"/>
            <w:noWrap/>
            <w:vAlign w:val="center"/>
          </w:tcPr>
          <w:p w14:paraId="23B60D62">
            <w:pPr>
              <w:tabs>
                <w:tab w:val="left" w:pos="6660"/>
              </w:tabs>
              <w:spacing w:line="24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"评标方法" </w:instrText>
            </w:r>
            <w:r>
              <w:rPr>
                <w:color w:val="auto"/>
                <w:highlight w:val="none"/>
              </w:rPr>
              <w:fldChar w:fldCharType="separate"/>
            </w:r>
            <w:r>
              <w:rPr>
                <w:rFonts w:hint="eastAsia" w:ascii="宋体" w:hAnsi="宋体"/>
                <w:color w:val="auto"/>
                <w:sz w:val="24"/>
                <w:highlight w:val="none"/>
              </w:rPr>
              <w:t>评标</w:t>
            </w:r>
            <w:bookmarkStart w:id="4" w:name="_Hlt227205320"/>
            <w:r>
              <w:rPr>
                <w:rFonts w:hint="eastAsia" w:ascii="宋体" w:hAnsi="宋体"/>
                <w:color w:val="auto"/>
                <w:sz w:val="24"/>
                <w:highlight w:val="none"/>
              </w:rPr>
              <w:t>标</w:t>
            </w:r>
            <w:bookmarkStart w:id="5" w:name="_Hlt307470752"/>
            <w:r>
              <w:rPr>
                <w:rFonts w:hint="eastAsia" w:ascii="宋体" w:hAnsi="宋体"/>
                <w:color w:val="auto"/>
                <w:sz w:val="24"/>
                <w:highlight w:val="none"/>
              </w:rPr>
              <w:t>准</w:t>
            </w:r>
            <w:bookmarkEnd w:id="5"/>
            <w:bookmarkStart w:id="6" w:name="_Hlt307434491"/>
            <w:bookmarkStart w:id="7" w:name="_Hlt307470554"/>
            <w:bookmarkStart w:id="8" w:name="_Hlt307434490"/>
            <w:bookmarkStart w:id="9" w:name="_Hlt307470553"/>
            <w:r>
              <w:rPr>
                <w:rFonts w:hint="eastAsia" w:ascii="宋体" w:hAnsi="宋体"/>
                <w:color w:val="auto"/>
                <w:sz w:val="24"/>
                <w:highlight w:val="none"/>
              </w:rPr>
              <w:t>和</w:t>
            </w:r>
            <w:bookmarkEnd w:id="6"/>
            <w:bookmarkEnd w:id="7"/>
            <w:bookmarkEnd w:id="8"/>
            <w:bookmarkEnd w:id="9"/>
            <w:bookmarkStart w:id="10" w:name="_Hlt318708530"/>
            <w:bookmarkStart w:id="11" w:name="_Hlt318708531"/>
            <w:r>
              <w:rPr>
                <w:rFonts w:hint="eastAsia" w:ascii="宋体" w:hAnsi="宋体"/>
                <w:color w:val="auto"/>
                <w:sz w:val="24"/>
                <w:highlight w:val="none"/>
              </w:rPr>
              <w:t>方</w:t>
            </w:r>
            <w:bookmarkEnd w:id="4"/>
            <w:bookmarkEnd w:id="10"/>
            <w:bookmarkEnd w:id="11"/>
            <w:r>
              <w:rPr>
                <w:rFonts w:hint="eastAsia" w:ascii="宋体" w:hAnsi="宋体"/>
                <w:color w:val="auto"/>
                <w:sz w:val="24"/>
                <w:highlight w:val="none"/>
              </w:rPr>
              <w:t>法</w:t>
            </w:r>
            <w:r>
              <w:rPr>
                <w:rFonts w:hint="eastAsia" w:ascii="宋体" w:hAnsi="宋体"/>
                <w:color w:val="auto"/>
                <w:sz w:val="24"/>
                <w:highlight w:val="none"/>
              </w:rPr>
              <w:fldChar w:fldCharType="end"/>
            </w:r>
            <w:r>
              <w:rPr>
                <w:rFonts w:hint="eastAsia" w:ascii="宋体" w:hAnsi="宋体"/>
                <w:color w:val="auto"/>
                <w:sz w:val="24"/>
                <w:highlight w:val="none"/>
              </w:rPr>
              <w:t>：</w:t>
            </w:r>
            <w:r>
              <w:rPr>
                <w:rFonts w:hint="eastAsia" w:ascii="宋体" w:hAnsi="宋体"/>
                <w:sz w:val="24"/>
              </w:rPr>
              <w:t>本项目采用综合评分法。</w:t>
            </w:r>
          </w:p>
        </w:tc>
      </w:tr>
      <w:tr w14:paraId="026BE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598" w:type="dxa"/>
            <w:noWrap/>
            <w:vAlign w:val="center"/>
          </w:tcPr>
          <w:p w14:paraId="7499C0AE">
            <w:pPr>
              <w:spacing w:line="480" w:lineRule="exact"/>
              <w:jc w:val="center"/>
              <w:rPr>
                <w:rFonts w:ascii="宋体" w:hAnsi="宋体"/>
                <w:color w:val="auto"/>
                <w:sz w:val="24"/>
                <w:highlight w:val="none"/>
              </w:rPr>
            </w:pPr>
            <w:r>
              <w:rPr>
                <w:rFonts w:hint="eastAsia" w:ascii="宋体" w:hAnsi="宋体"/>
                <w:color w:val="auto"/>
                <w:sz w:val="24"/>
                <w:highlight w:val="none"/>
              </w:rPr>
              <w:t>9</w:t>
            </w:r>
          </w:p>
        </w:tc>
        <w:tc>
          <w:tcPr>
            <w:tcW w:w="899" w:type="dxa"/>
            <w:noWrap/>
            <w:vAlign w:val="center"/>
          </w:tcPr>
          <w:p w14:paraId="5FF73455">
            <w:pPr>
              <w:spacing w:line="480" w:lineRule="exact"/>
              <w:jc w:val="center"/>
              <w:rPr>
                <w:rFonts w:ascii="宋体" w:hAnsi="宋体"/>
                <w:color w:val="auto"/>
                <w:sz w:val="24"/>
                <w:highlight w:val="none"/>
              </w:rPr>
            </w:pPr>
            <w:r>
              <w:rPr>
                <w:rFonts w:hint="eastAsia" w:ascii="宋体" w:hAnsi="宋体"/>
                <w:color w:val="auto"/>
                <w:sz w:val="24"/>
                <w:highlight w:val="none"/>
              </w:rPr>
              <w:t>13.2</w:t>
            </w:r>
          </w:p>
        </w:tc>
        <w:tc>
          <w:tcPr>
            <w:tcW w:w="8579" w:type="dxa"/>
            <w:noWrap/>
            <w:vAlign w:val="center"/>
          </w:tcPr>
          <w:p w14:paraId="42948246">
            <w:pPr>
              <w:spacing w:line="360" w:lineRule="auto"/>
              <w:rPr>
                <w:rFonts w:ascii="宋体" w:hAnsi="宋体"/>
                <w:b/>
                <w:color w:val="auto"/>
                <w:sz w:val="24"/>
                <w:highlight w:val="none"/>
                <w:shd w:val="pct10" w:color="auto" w:fill="FFFFFF"/>
              </w:rPr>
            </w:pPr>
            <w:r>
              <w:rPr>
                <w:rFonts w:hint="eastAsia" w:ascii="宋体" w:hAnsi="宋体"/>
                <w:b/>
                <w:bCs/>
                <w:color w:val="auto"/>
                <w:sz w:val="24"/>
                <w:highlight w:val="none"/>
              </w:rPr>
              <w:t>投标文件应由投标人的</w:t>
            </w:r>
            <w:r>
              <w:rPr>
                <w:rFonts w:hint="eastAsia" w:ascii="宋体" w:hAnsi="宋体"/>
                <w:b/>
                <w:bCs/>
                <w:color w:val="auto"/>
                <w:sz w:val="24"/>
                <w:highlight w:val="none"/>
                <w:lang w:eastAsia="zh-CN"/>
              </w:rPr>
              <w:t>法定代表人</w:t>
            </w:r>
            <w:r>
              <w:rPr>
                <w:rFonts w:hint="eastAsia" w:ascii="宋体" w:hAnsi="宋体"/>
                <w:b/>
                <w:bCs/>
                <w:color w:val="auto"/>
                <w:sz w:val="24"/>
                <w:highlight w:val="none"/>
              </w:rPr>
              <w:t>或者其授权代表签名并加盖公章，如由后者签名，应提供“</w:t>
            </w:r>
            <w:r>
              <w:rPr>
                <w:rFonts w:hint="eastAsia" w:ascii="宋体" w:hAnsi="宋体"/>
                <w:b/>
                <w:bCs/>
                <w:color w:val="auto"/>
                <w:sz w:val="24"/>
                <w:highlight w:val="none"/>
                <w:lang w:eastAsia="zh-CN"/>
              </w:rPr>
              <w:t>法定代表人</w:t>
            </w:r>
            <w:r>
              <w:rPr>
                <w:rFonts w:hint="eastAsia" w:ascii="宋体" w:hAnsi="宋体"/>
                <w:b/>
                <w:bCs/>
                <w:color w:val="auto"/>
                <w:sz w:val="24"/>
                <w:highlight w:val="none"/>
              </w:rPr>
              <w:t>授权书”。</w:t>
            </w:r>
          </w:p>
        </w:tc>
      </w:tr>
      <w:tr w14:paraId="7E68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98" w:type="dxa"/>
            <w:noWrap/>
            <w:vAlign w:val="center"/>
          </w:tcPr>
          <w:p w14:paraId="13FC033B">
            <w:pPr>
              <w:spacing w:line="480" w:lineRule="exact"/>
              <w:jc w:val="center"/>
              <w:rPr>
                <w:rFonts w:ascii="宋体" w:hAnsi="宋体"/>
                <w:color w:val="auto"/>
                <w:sz w:val="24"/>
                <w:highlight w:val="none"/>
              </w:rPr>
            </w:pPr>
            <w:r>
              <w:rPr>
                <w:rFonts w:hint="eastAsia" w:ascii="宋体" w:hAnsi="宋体"/>
                <w:color w:val="auto"/>
                <w:sz w:val="24"/>
                <w:highlight w:val="none"/>
              </w:rPr>
              <w:t>10</w:t>
            </w:r>
          </w:p>
        </w:tc>
        <w:tc>
          <w:tcPr>
            <w:tcW w:w="899" w:type="dxa"/>
            <w:noWrap/>
            <w:vAlign w:val="center"/>
          </w:tcPr>
          <w:p w14:paraId="5B31B671">
            <w:pPr>
              <w:spacing w:line="480" w:lineRule="exact"/>
              <w:jc w:val="center"/>
              <w:rPr>
                <w:rFonts w:ascii="宋体" w:hAnsi="宋体"/>
                <w:b w:val="0"/>
                <w:bCs/>
                <w:color w:val="auto"/>
                <w:sz w:val="24"/>
                <w:highlight w:val="none"/>
              </w:rPr>
            </w:pPr>
          </w:p>
        </w:tc>
        <w:tc>
          <w:tcPr>
            <w:tcW w:w="8579" w:type="dxa"/>
            <w:noWrap/>
            <w:vAlign w:val="center"/>
          </w:tcPr>
          <w:p w14:paraId="1EEAE293">
            <w:pPr>
              <w:pStyle w:val="17"/>
              <w:widowControl/>
              <w:wordWrap w:val="0"/>
              <w:spacing w:before="0" w:beforeAutospacing="0" w:after="0" w:afterAutospacing="0" w:line="480" w:lineRule="atLeast"/>
              <w:ind w:left="0" w:right="0"/>
              <w:rPr>
                <w:rFonts w:hint="eastAsia" w:ascii="宋体" w:hAnsi="宋体" w:eastAsia="宋体" w:cs="宋体"/>
                <w:lang w:bidi="ar"/>
              </w:rPr>
            </w:pPr>
            <w:r>
              <w:rPr>
                <w:rFonts w:hint="eastAsia" w:ascii="宋体" w:hAnsi="宋体"/>
                <w:b w:val="0"/>
                <w:bCs/>
                <w:color w:val="auto"/>
                <w:sz w:val="24"/>
                <w:highlight w:val="none"/>
              </w:rPr>
              <w:t>招标代理服务费：</w:t>
            </w:r>
            <w:r>
              <w:rPr>
                <w:rFonts w:hint="eastAsia" w:ascii="宋体" w:hAnsi="宋体"/>
                <w:b w:val="0"/>
                <w:bCs/>
                <w:color w:val="auto"/>
                <w:sz w:val="24"/>
                <w:highlight w:val="none"/>
              </w:rPr>
              <w:br w:type="textWrapping"/>
            </w:r>
            <w:r>
              <w:rPr>
                <w:rFonts w:hint="eastAsia" w:ascii="宋体" w:hAnsi="宋体" w:eastAsia="宋体" w:cs="宋体"/>
                <w:lang w:bidi="ar"/>
              </w:rPr>
              <w:t>代理服务费用收取对象：中标/成交供应商</w:t>
            </w:r>
          </w:p>
          <w:p w14:paraId="5F176E5B">
            <w:pPr>
              <w:widowControl/>
              <w:wordWrap w:val="0"/>
              <w:spacing w:before="0" w:beforeAutospacing="0" w:after="0" w:afterAutospacing="0" w:line="480" w:lineRule="atLeast"/>
              <w:ind w:left="0" w:right="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代理服务费收费标准：以中标金额作为收费的计算基数。按差额定率累进法计取，具体标准如下：（0，50]万元：1%；（50，100]万元：0.9%；（100，500]万元：0.5%；</w:t>
            </w:r>
            <w:r>
              <w:rPr>
                <w:rFonts w:hint="eastAsia"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招标代理服务费专户</w:t>
            </w:r>
          </w:p>
          <w:p w14:paraId="4F7DEDC7">
            <w:pPr>
              <w:widowControl/>
              <w:wordWrap w:val="0"/>
              <w:spacing w:before="0" w:beforeAutospacing="0" w:after="0" w:afterAutospacing="0" w:line="480" w:lineRule="atLeast"/>
              <w:ind w:left="0" w:right="0"/>
              <w:jc w:val="left"/>
              <w:rPr>
                <w:rFonts w:hint="eastAsia" w:ascii="宋体" w:hAnsi="宋体" w:eastAsia="宋体"/>
                <w:b w:val="0"/>
                <w:bCs/>
                <w:color w:val="auto"/>
                <w:sz w:val="24"/>
                <w:highlight w:val="none"/>
                <w:lang w:eastAsia="zh-CN"/>
              </w:rPr>
            </w:pPr>
            <w:r>
              <w:rPr>
                <w:rFonts w:hint="eastAsia" w:ascii="宋体" w:hAnsi="宋体" w:eastAsia="宋体" w:cs="宋体"/>
                <w:kern w:val="0"/>
                <w:sz w:val="24"/>
                <w:szCs w:val="24"/>
                <w:lang w:val="en-US" w:eastAsia="zh-CN" w:bidi="ar"/>
              </w:rPr>
              <w:t>【开户行：中国建设银行股份有限公司福州杨桥支行；开户名：福建省宏瑞招标代理有限公司；账号：35001877607052505105】</w:t>
            </w:r>
          </w:p>
        </w:tc>
      </w:tr>
      <w:tr w14:paraId="12A0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14:paraId="26B025EF">
            <w:pPr>
              <w:spacing w:line="480" w:lineRule="exact"/>
              <w:jc w:val="center"/>
              <w:rPr>
                <w:rFonts w:ascii="宋体" w:hAnsi="宋体"/>
                <w:color w:val="auto"/>
                <w:sz w:val="24"/>
                <w:highlight w:val="none"/>
              </w:rPr>
            </w:pPr>
            <w:r>
              <w:rPr>
                <w:rFonts w:hint="eastAsia" w:ascii="宋体" w:hAnsi="宋体"/>
                <w:color w:val="auto"/>
                <w:sz w:val="24"/>
                <w:highlight w:val="none"/>
              </w:rPr>
              <w:t>11</w:t>
            </w:r>
          </w:p>
        </w:tc>
        <w:tc>
          <w:tcPr>
            <w:tcW w:w="899" w:type="dxa"/>
            <w:noWrap/>
            <w:vAlign w:val="center"/>
          </w:tcPr>
          <w:p w14:paraId="051BA1AB">
            <w:pPr>
              <w:spacing w:line="480" w:lineRule="exact"/>
              <w:jc w:val="center"/>
              <w:rPr>
                <w:rFonts w:ascii="宋体" w:hAnsi="宋体"/>
                <w:color w:val="auto"/>
                <w:sz w:val="24"/>
                <w:highlight w:val="none"/>
              </w:rPr>
            </w:pPr>
            <w:r>
              <w:rPr>
                <w:rFonts w:hint="eastAsia" w:ascii="宋体" w:hAnsi="宋体"/>
                <w:color w:val="auto"/>
                <w:sz w:val="24"/>
                <w:highlight w:val="none"/>
              </w:rPr>
              <w:t>串通行为情形及处置</w:t>
            </w:r>
          </w:p>
        </w:tc>
        <w:tc>
          <w:tcPr>
            <w:tcW w:w="8579" w:type="dxa"/>
            <w:noWrap/>
            <w:vAlign w:val="center"/>
          </w:tcPr>
          <w:p w14:paraId="153D06DE">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highlight w:val="none"/>
                <w:lang w:val="en-US" w:eastAsia="zh-CN" w:bidi="ar"/>
              </w:rPr>
              <w:t>1.投标人</w:t>
            </w:r>
            <w:r>
              <w:rPr>
                <w:rFonts w:hint="eastAsia" w:ascii="宋体" w:hAnsi="宋体" w:eastAsia="宋体" w:cs="宋体"/>
                <w:color w:val="auto"/>
                <w:kern w:val="0"/>
                <w:sz w:val="24"/>
                <w:szCs w:val="24"/>
                <w:highlight w:val="none"/>
                <w:shd w:val="clear" w:color="auto" w:fill="auto"/>
                <w:lang w:bidi="ar"/>
              </w:rPr>
              <w:t>有下列情形之一的，属于恶意串通：</w:t>
            </w:r>
          </w:p>
          <w:p w14:paraId="651EA78A">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之间协商报价、技术方案等</w:t>
            </w:r>
            <w:r>
              <w:rPr>
                <w:rFonts w:hint="eastAsia" w:ascii="宋体" w:hAnsi="宋体" w:eastAsia="宋体" w:cs="宋体"/>
                <w:color w:val="auto"/>
                <w:kern w:val="0"/>
                <w:sz w:val="24"/>
                <w:szCs w:val="24"/>
                <w:highlight w:val="none"/>
                <w:shd w:val="clear" w:color="auto" w:fill="auto"/>
                <w:lang w:eastAsia="zh-CN" w:bidi="ar"/>
              </w:rPr>
              <w:t>投标文件</w:t>
            </w:r>
            <w:r>
              <w:rPr>
                <w:rFonts w:hint="eastAsia" w:ascii="宋体" w:hAnsi="宋体" w:eastAsia="宋体" w:cs="宋体"/>
                <w:color w:val="auto"/>
                <w:kern w:val="0"/>
                <w:sz w:val="24"/>
                <w:szCs w:val="24"/>
                <w:highlight w:val="none"/>
                <w:shd w:val="clear" w:color="auto" w:fill="auto"/>
                <w:lang w:bidi="ar"/>
              </w:rPr>
              <w:t>的实质性内容；</w:t>
            </w:r>
          </w:p>
          <w:p w14:paraId="43C42F80">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2</w:t>
            </w:r>
            <w:r>
              <w:rPr>
                <w:rFonts w:hint="eastAsia" w:ascii="宋体" w:hAnsi="宋体" w:eastAsia="宋体" w:cs="宋体"/>
                <w:color w:val="auto"/>
                <w:kern w:val="0"/>
                <w:sz w:val="24"/>
                <w:szCs w:val="24"/>
                <w:highlight w:val="none"/>
                <w:shd w:val="clear" w:color="auto" w:fill="auto"/>
                <w:lang w:bidi="ar"/>
              </w:rPr>
              <w:t>）属于同一集团、协会、商会等组织成员的</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按照该组织要求协同参加采购活动；</w:t>
            </w:r>
          </w:p>
          <w:p w14:paraId="009122C7">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之间事先约定由某一特定</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中标、成交；</w:t>
            </w:r>
          </w:p>
          <w:p w14:paraId="2BAE7ABF">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4</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之间商定部分</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放弃参加采购活动或者放弃中标、成交；</w:t>
            </w:r>
          </w:p>
          <w:p w14:paraId="2FED74E3">
            <w:pPr>
              <w:spacing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与</w:t>
            </w:r>
            <w:r>
              <w:rPr>
                <w:rFonts w:hint="eastAsia" w:ascii="宋体" w:hAnsi="宋体" w:eastAsia="宋体" w:cs="宋体"/>
                <w:color w:val="auto"/>
                <w:kern w:val="0"/>
                <w:sz w:val="24"/>
                <w:szCs w:val="24"/>
                <w:highlight w:val="none"/>
                <w:shd w:val="clear" w:color="auto" w:fill="auto"/>
                <w:lang w:eastAsia="zh-CN" w:bidi="ar"/>
              </w:rPr>
              <w:t>招标人</w:t>
            </w:r>
            <w:r>
              <w:rPr>
                <w:rFonts w:hint="eastAsia" w:ascii="宋体" w:hAnsi="宋体" w:eastAsia="宋体" w:cs="宋体"/>
                <w:color w:val="auto"/>
                <w:kern w:val="0"/>
                <w:sz w:val="24"/>
                <w:szCs w:val="24"/>
                <w:highlight w:val="none"/>
                <w:shd w:val="clear" w:color="auto" w:fill="auto"/>
                <w:lang w:bidi="ar"/>
              </w:rPr>
              <w:t>或者采购代理机构之间、</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相互之间，为谋求特定</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中标、成交或者排斥其他</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的其他串通行为。</w:t>
            </w:r>
          </w:p>
          <w:p w14:paraId="4250A8BB">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val="en-US" w:eastAsia="zh-CN" w:bidi="ar"/>
              </w:rPr>
              <w:t>2.</w:t>
            </w:r>
            <w:r>
              <w:rPr>
                <w:rStyle w:val="23"/>
                <w:rFonts w:hint="eastAsia" w:ascii="宋体" w:hAnsi="宋体" w:cs="宋体"/>
                <w:b w:val="0"/>
                <w:bCs w:val="0"/>
                <w:color w:val="auto"/>
                <w:sz w:val="24"/>
                <w:highlight w:val="none"/>
                <w:lang w:val="en-US" w:eastAsia="zh-CN"/>
              </w:rPr>
              <w:t>投标人</w:t>
            </w:r>
            <w:r>
              <w:rPr>
                <w:rFonts w:hint="eastAsia" w:ascii="宋体" w:hAnsi="宋体" w:eastAsia="宋体" w:cs="宋体"/>
                <w:color w:val="auto"/>
                <w:kern w:val="0"/>
                <w:sz w:val="24"/>
                <w:szCs w:val="24"/>
                <w:highlight w:val="none"/>
                <w:shd w:val="clear" w:color="auto" w:fill="auto"/>
                <w:lang w:bidi="ar"/>
              </w:rPr>
              <w:t>有下列情形之一的，视为</w:t>
            </w:r>
            <w:r>
              <w:rPr>
                <w:rFonts w:hint="eastAsia" w:ascii="宋体" w:hAnsi="宋体" w:eastAsia="宋体" w:cs="宋体"/>
                <w:color w:val="auto"/>
                <w:kern w:val="0"/>
                <w:sz w:val="24"/>
                <w:szCs w:val="24"/>
                <w:highlight w:val="none"/>
                <w:shd w:val="clear" w:color="auto" w:fill="auto"/>
                <w:lang w:eastAsia="zh-CN" w:bidi="ar"/>
              </w:rPr>
              <w:t>投标人</w:t>
            </w:r>
            <w:r>
              <w:rPr>
                <w:rFonts w:hint="eastAsia" w:ascii="宋体" w:hAnsi="宋体" w:eastAsia="宋体" w:cs="宋体"/>
                <w:color w:val="auto"/>
                <w:kern w:val="0"/>
                <w:sz w:val="24"/>
                <w:szCs w:val="24"/>
                <w:highlight w:val="none"/>
                <w:shd w:val="clear" w:color="auto" w:fill="auto"/>
                <w:lang w:bidi="ar"/>
              </w:rPr>
              <w:t>串通</w:t>
            </w:r>
            <w:r>
              <w:rPr>
                <w:rFonts w:hint="eastAsia" w:ascii="宋体" w:hAnsi="宋体" w:eastAsia="宋体" w:cs="宋体"/>
                <w:color w:val="auto"/>
                <w:kern w:val="0"/>
                <w:sz w:val="24"/>
                <w:szCs w:val="24"/>
                <w:highlight w:val="none"/>
                <w:shd w:val="clear" w:color="auto" w:fill="auto"/>
                <w:lang w:val="en-US" w:eastAsia="zh-CN" w:bidi="ar"/>
              </w:rPr>
              <w:t>报价</w:t>
            </w:r>
            <w:r>
              <w:rPr>
                <w:rFonts w:hint="eastAsia" w:ascii="宋体" w:hAnsi="宋体" w:eastAsia="宋体" w:cs="宋体"/>
                <w:color w:val="auto"/>
                <w:kern w:val="0"/>
                <w:sz w:val="24"/>
                <w:szCs w:val="24"/>
                <w:highlight w:val="none"/>
                <w:shd w:val="clear" w:color="auto" w:fill="auto"/>
                <w:lang w:bidi="ar"/>
              </w:rPr>
              <w:t>：</w:t>
            </w:r>
          </w:p>
          <w:p w14:paraId="1415A8BC">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1</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的</w:t>
            </w:r>
            <w:r>
              <w:rPr>
                <w:rFonts w:hint="eastAsia" w:ascii="宋体" w:hAnsi="宋体" w:eastAsia="宋体" w:cs="宋体"/>
                <w:color w:val="auto"/>
                <w:kern w:val="0"/>
                <w:sz w:val="24"/>
                <w:szCs w:val="24"/>
                <w:highlight w:val="none"/>
                <w:shd w:val="clear" w:color="auto" w:fill="auto"/>
                <w:lang w:val="en-US" w:eastAsia="zh-CN" w:bidi="ar"/>
              </w:rPr>
              <w:t>投标文件</w:t>
            </w:r>
            <w:r>
              <w:rPr>
                <w:rFonts w:hint="eastAsia" w:ascii="宋体" w:hAnsi="宋体" w:eastAsia="宋体" w:cs="宋体"/>
                <w:color w:val="auto"/>
                <w:kern w:val="0"/>
                <w:sz w:val="24"/>
                <w:szCs w:val="24"/>
                <w:highlight w:val="none"/>
                <w:shd w:val="clear" w:color="auto" w:fill="auto"/>
                <w:lang w:bidi="ar"/>
              </w:rPr>
              <w:t>由同一单位或者个人编制；</w:t>
            </w:r>
          </w:p>
          <w:p w14:paraId="6FC0656A">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2</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委托同一单位或者个人办理</w:t>
            </w:r>
            <w:r>
              <w:rPr>
                <w:rFonts w:hint="eastAsia" w:ascii="宋体" w:hAnsi="宋体" w:eastAsia="宋体" w:cs="宋体"/>
                <w:color w:val="auto"/>
                <w:kern w:val="0"/>
                <w:sz w:val="24"/>
                <w:szCs w:val="24"/>
                <w:highlight w:val="none"/>
                <w:shd w:val="clear" w:color="auto" w:fill="auto"/>
                <w:lang w:eastAsia="zh-CN" w:bidi="ar"/>
              </w:rPr>
              <w:t>投标</w:t>
            </w:r>
            <w:r>
              <w:rPr>
                <w:rFonts w:hint="eastAsia" w:ascii="宋体" w:hAnsi="宋体" w:eastAsia="宋体" w:cs="宋体"/>
                <w:color w:val="auto"/>
                <w:kern w:val="0"/>
                <w:sz w:val="24"/>
                <w:szCs w:val="24"/>
                <w:highlight w:val="none"/>
                <w:shd w:val="clear" w:color="auto" w:fill="auto"/>
                <w:lang w:bidi="ar"/>
              </w:rPr>
              <w:t>事宜；</w:t>
            </w:r>
          </w:p>
          <w:p w14:paraId="6A68D553">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3</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的</w:t>
            </w:r>
            <w:r>
              <w:rPr>
                <w:rFonts w:hint="eastAsia" w:ascii="宋体" w:hAnsi="宋体" w:eastAsia="宋体" w:cs="宋体"/>
                <w:color w:val="auto"/>
                <w:kern w:val="0"/>
                <w:sz w:val="24"/>
                <w:szCs w:val="24"/>
                <w:highlight w:val="none"/>
                <w:shd w:val="clear" w:color="auto" w:fill="auto"/>
                <w:lang w:eastAsia="zh-CN" w:bidi="ar"/>
              </w:rPr>
              <w:t>投标文件</w:t>
            </w:r>
            <w:r>
              <w:rPr>
                <w:rFonts w:hint="eastAsia" w:ascii="宋体" w:hAnsi="宋体" w:eastAsia="宋体" w:cs="宋体"/>
                <w:color w:val="auto"/>
                <w:kern w:val="0"/>
                <w:sz w:val="24"/>
                <w:szCs w:val="24"/>
                <w:highlight w:val="none"/>
                <w:shd w:val="clear" w:color="auto" w:fill="auto"/>
                <w:lang w:bidi="ar"/>
              </w:rPr>
              <w:t>载明的项目管理成员或者联系人员为同一人；</w:t>
            </w:r>
          </w:p>
          <w:p w14:paraId="74BF2E3D">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4</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的</w:t>
            </w:r>
            <w:r>
              <w:rPr>
                <w:rFonts w:hint="eastAsia" w:ascii="宋体" w:hAnsi="宋体" w:eastAsia="宋体" w:cs="宋体"/>
                <w:color w:val="auto"/>
                <w:kern w:val="0"/>
                <w:sz w:val="24"/>
                <w:szCs w:val="24"/>
                <w:highlight w:val="none"/>
                <w:shd w:val="clear" w:color="auto" w:fill="auto"/>
                <w:lang w:eastAsia="zh-CN" w:bidi="ar"/>
              </w:rPr>
              <w:t>投标文件</w:t>
            </w:r>
            <w:r>
              <w:rPr>
                <w:rFonts w:hint="eastAsia" w:ascii="宋体" w:hAnsi="宋体" w:eastAsia="宋体" w:cs="宋体"/>
                <w:color w:val="auto"/>
                <w:kern w:val="0"/>
                <w:sz w:val="24"/>
                <w:szCs w:val="24"/>
                <w:highlight w:val="none"/>
                <w:shd w:val="clear" w:color="auto" w:fill="auto"/>
                <w:lang w:bidi="ar"/>
              </w:rPr>
              <w:t>异常一致或者投标报价呈规律性差异；</w:t>
            </w:r>
          </w:p>
          <w:p w14:paraId="744CA97A">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5</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的</w:t>
            </w:r>
            <w:r>
              <w:rPr>
                <w:rFonts w:hint="eastAsia" w:ascii="宋体" w:hAnsi="宋体" w:eastAsia="宋体" w:cs="宋体"/>
                <w:color w:val="auto"/>
                <w:kern w:val="0"/>
                <w:sz w:val="24"/>
                <w:szCs w:val="24"/>
                <w:highlight w:val="none"/>
                <w:shd w:val="clear" w:color="auto" w:fill="auto"/>
                <w:lang w:eastAsia="zh-CN" w:bidi="ar"/>
              </w:rPr>
              <w:t>投标文件</w:t>
            </w:r>
            <w:r>
              <w:rPr>
                <w:rFonts w:hint="eastAsia" w:ascii="宋体" w:hAnsi="宋体" w:eastAsia="宋体" w:cs="宋体"/>
                <w:color w:val="auto"/>
                <w:kern w:val="0"/>
                <w:sz w:val="24"/>
                <w:szCs w:val="24"/>
                <w:highlight w:val="none"/>
                <w:shd w:val="clear" w:color="auto" w:fill="auto"/>
                <w:lang w:bidi="ar"/>
              </w:rPr>
              <w:t>相互混装；</w:t>
            </w:r>
          </w:p>
          <w:p w14:paraId="4234182A">
            <w:pPr>
              <w:widowControl/>
              <w:snapToGrid w:val="0"/>
              <w:spacing w:before="0" w:beforeAutospacing="0" w:after="0" w:line="360" w:lineRule="auto"/>
              <w:ind w:firstLine="0" w:firstLineChars="0"/>
              <w:jc w:val="left"/>
              <w:rPr>
                <w:rFonts w:hint="eastAsia" w:ascii="宋体" w:hAnsi="宋体" w:eastAsia="宋体" w:cs="宋体"/>
                <w:color w:val="auto"/>
                <w:kern w:val="0"/>
                <w:sz w:val="24"/>
                <w:szCs w:val="24"/>
                <w:highlight w:val="none"/>
                <w:shd w:val="clear" w:color="auto" w:fill="auto"/>
                <w:lang w:eastAsia="zh-CN" w:bidi="ar"/>
              </w:rPr>
            </w:pPr>
            <w:r>
              <w:rPr>
                <w:rFonts w:hint="eastAsia" w:ascii="宋体" w:hAnsi="宋体" w:eastAsia="宋体" w:cs="宋体"/>
                <w:color w:val="auto"/>
                <w:kern w:val="0"/>
                <w:sz w:val="24"/>
                <w:szCs w:val="24"/>
                <w:highlight w:val="none"/>
                <w:shd w:val="clear" w:color="auto" w:fill="auto"/>
                <w:lang w:bidi="ar"/>
              </w:rPr>
              <w:t>（</w:t>
            </w:r>
            <w:r>
              <w:rPr>
                <w:rFonts w:hint="eastAsia" w:ascii="宋体" w:hAnsi="宋体" w:eastAsia="宋体" w:cs="宋体"/>
                <w:color w:val="auto"/>
                <w:kern w:val="0"/>
                <w:sz w:val="24"/>
                <w:szCs w:val="24"/>
                <w:highlight w:val="none"/>
                <w:shd w:val="clear" w:color="auto" w:fill="auto"/>
                <w:lang w:val="en-US" w:eastAsia="zh-CN" w:bidi="ar"/>
              </w:rPr>
              <w:t>6</w:t>
            </w:r>
            <w:r>
              <w:rPr>
                <w:rFonts w:hint="eastAsia" w:ascii="宋体" w:hAnsi="宋体" w:eastAsia="宋体" w:cs="宋体"/>
                <w:color w:val="auto"/>
                <w:kern w:val="0"/>
                <w:sz w:val="24"/>
                <w:szCs w:val="24"/>
                <w:highlight w:val="none"/>
                <w:shd w:val="clear" w:color="auto" w:fill="auto"/>
                <w:lang w:bidi="ar"/>
              </w:rPr>
              <w:t>）不同</w:t>
            </w:r>
            <w:r>
              <w:rPr>
                <w:rFonts w:hint="eastAsia" w:ascii="宋体" w:hAnsi="宋体" w:eastAsia="宋体" w:cs="宋体"/>
                <w:color w:val="auto"/>
                <w:kern w:val="0"/>
                <w:sz w:val="24"/>
                <w:szCs w:val="24"/>
                <w:highlight w:val="none"/>
                <w:shd w:val="clear" w:color="auto" w:fill="auto"/>
                <w:lang w:val="en-US" w:eastAsia="zh-CN" w:bidi="ar"/>
              </w:rPr>
              <w:t>投标人</w:t>
            </w:r>
            <w:r>
              <w:rPr>
                <w:rFonts w:hint="eastAsia" w:ascii="宋体" w:hAnsi="宋体" w:eastAsia="宋体" w:cs="宋体"/>
                <w:color w:val="auto"/>
                <w:kern w:val="0"/>
                <w:sz w:val="24"/>
                <w:szCs w:val="24"/>
                <w:highlight w:val="none"/>
                <w:shd w:val="clear" w:color="auto" w:fill="auto"/>
                <w:lang w:bidi="ar"/>
              </w:rPr>
              <w:t>的</w:t>
            </w:r>
            <w:r>
              <w:rPr>
                <w:rFonts w:hint="eastAsia" w:ascii="宋体" w:hAnsi="宋体" w:eastAsia="宋体" w:cs="宋体"/>
                <w:color w:val="auto"/>
                <w:kern w:val="0"/>
                <w:sz w:val="24"/>
                <w:szCs w:val="24"/>
                <w:highlight w:val="none"/>
                <w:shd w:val="clear" w:color="auto" w:fill="auto"/>
                <w:lang w:val="en-US" w:eastAsia="zh-CN" w:bidi="ar"/>
              </w:rPr>
              <w:t>投标保证金</w:t>
            </w:r>
            <w:r>
              <w:rPr>
                <w:rFonts w:hint="eastAsia" w:ascii="宋体" w:hAnsi="宋体" w:eastAsia="宋体" w:cs="宋体"/>
                <w:color w:val="auto"/>
                <w:kern w:val="0"/>
                <w:sz w:val="24"/>
                <w:szCs w:val="24"/>
                <w:highlight w:val="none"/>
                <w:shd w:val="clear" w:color="auto" w:fill="auto"/>
                <w:lang w:bidi="ar"/>
              </w:rPr>
              <w:t>从同一单位或</w:t>
            </w:r>
            <w:r>
              <w:rPr>
                <w:rFonts w:hint="eastAsia" w:ascii="宋体" w:hAnsi="宋体" w:eastAsia="宋体" w:cs="宋体"/>
                <w:color w:val="auto"/>
                <w:kern w:val="0"/>
                <w:sz w:val="24"/>
                <w:szCs w:val="24"/>
                <w:highlight w:val="none"/>
                <w:shd w:val="clear" w:color="auto" w:fill="auto"/>
                <w:lang w:eastAsia="zh-CN" w:bidi="ar"/>
              </w:rPr>
              <w:t>者个人的账户转出。</w:t>
            </w:r>
          </w:p>
          <w:p w14:paraId="00369076">
            <w:pPr>
              <w:widowControl/>
              <w:snapToGrid w:val="0"/>
              <w:spacing w:before="0" w:beforeAutospacing="0" w:after="0" w:line="360" w:lineRule="auto"/>
              <w:ind w:firstLine="0" w:firstLineChars="0"/>
              <w:jc w:val="left"/>
              <w:rPr>
                <w:rFonts w:ascii="宋体" w:hAnsi="宋体"/>
                <w:color w:val="auto"/>
                <w:sz w:val="24"/>
                <w:highlight w:val="none"/>
              </w:rPr>
            </w:pPr>
            <w:r>
              <w:rPr>
                <w:rFonts w:hint="eastAsia" w:ascii="宋体" w:hAnsi="宋体" w:eastAsia="宋体" w:cs="宋体"/>
                <w:color w:val="auto"/>
                <w:kern w:val="0"/>
                <w:sz w:val="24"/>
                <w:szCs w:val="24"/>
                <w:highlight w:val="none"/>
                <w:shd w:val="clear" w:color="auto" w:fill="auto"/>
                <w:lang w:val="en-US" w:eastAsia="zh-CN" w:bidi="ar"/>
              </w:rPr>
              <w:t>3.在评审现场，评标委员会发现投标人有存在上述恶意串通或串通报价情形的，评标委员会应当对是否属于串通行为情形进行认定，认定属于串通行为情形的，相关投标人的投标均无效并书面报告招标人。</w:t>
            </w:r>
          </w:p>
        </w:tc>
      </w:tr>
      <w:tr w14:paraId="338A2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598" w:type="dxa"/>
            <w:noWrap/>
            <w:vAlign w:val="center"/>
          </w:tcPr>
          <w:p w14:paraId="4B0509F6">
            <w:pPr>
              <w:spacing w:line="480" w:lineRule="exact"/>
              <w:jc w:val="center"/>
              <w:rPr>
                <w:rFonts w:ascii="宋体" w:hAnsi="宋体"/>
                <w:color w:val="auto"/>
                <w:sz w:val="24"/>
                <w:highlight w:val="none"/>
              </w:rPr>
            </w:pPr>
            <w:r>
              <w:rPr>
                <w:rFonts w:hint="eastAsia" w:ascii="宋体" w:hAnsi="宋体"/>
                <w:color w:val="auto"/>
                <w:sz w:val="24"/>
                <w:highlight w:val="none"/>
              </w:rPr>
              <w:t>12</w:t>
            </w:r>
          </w:p>
        </w:tc>
        <w:tc>
          <w:tcPr>
            <w:tcW w:w="899" w:type="dxa"/>
            <w:noWrap/>
            <w:vAlign w:val="center"/>
          </w:tcPr>
          <w:p w14:paraId="4C23474B">
            <w:pPr>
              <w:spacing w:line="480" w:lineRule="exact"/>
              <w:jc w:val="center"/>
              <w:rPr>
                <w:rFonts w:ascii="宋体" w:hAnsi="宋体"/>
                <w:b/>
                <w:color w:val="auto"/>
                <w:sz w:val="24"/>
                <w:highlight w:val="none"/>
              </w:rPr>
            </w:pPr>
          </w:p>
        </w:tc>
        <w:tc>
          <w:tcPr>
            <w:tcW w:w="8579" w:type="dxa"/>
            <w:noWrap/>
            <w:vAlign w:val="center"/>
          </w:tcPr>
          <w:p w14:paraId="51ACB581">
            <w:pPr>
              <w:spacing w:line="360" w:lineRule="auto"/>
              <w:rPr>
                <w:rFonts w:ascii="宋体" w:hAnsi="宋体"/>
                <w:b/>
                <w:color w:val="auto"/>
                <w:sz w:val="24"/>
                <w:highlight w:val="none"/>
              </w:rPr>
            </w:pPr>
            <w:r>
              <w:rPr>
                <w:rFonts w:hint="eastAsia" w:ascii="宋体" w:hAnsi="宋体"/>
                <w:b/>
                <w:color w:val="auto"/>
                <w:sz w:val="24"/>
                <w:highlight w:val="none"/>
              </w:rPr>
              <w:t>废标条款：</w:t>
            </w:r>
          </w:p>
          <w:p w14:paraId="11945C23">
            <w:pPr>
              <w:spacing w:line="360" w:lineRule="auto"/>
              <w:rPr>
                <w:rFonts w:ascii="宋体" w:hAnsi="宋体" w:cs="Tahoma"/>
                <w:color w:val="auto"/>
                <w:sz w:val="24"/>
                <w:highlight w:val="none"/>
              </w:rPr>
            </w:pPr>
            <w:r>
              <w:rPr>
                <w:rFonts w:ascii="宋体" w:hAnsi="宋体" w:cs="Tahoma"/>
                <w:color w:val="auto"/>
                <w:sz w:val="24"/>
                <w:highlight w:val="none"/>
              </w:rPr>
              <w:t xml:space="preserve">在招标采购中，出现下列情形之一的，应予废标： </w:t>
            </w:r>
          </w:p>
          <w:p w14:paraId="59C9A7E1">
            <w:pPr>
              <w:spacing w:line="360" w:lineRule="auto"/>
              <w:rPr>
                <w:rFonts w:ascii="宋体" w:hAnsi="宋体" w:cs="Tahoma"/>
                <w:color w:val="auto"/>
                <w:sz w:val="24"/>
                <w:highlight w:val="none"/>
              </w:rPr>
            </w:pPr>
            <w:r>
              <w:rPr>
                <w:rFonts w:hint="eastAsia" w:ascii="宋体" w:hAnsi="宋体" w:cs="Tahoma"/>
                <w:color w:val="auto"/>
                <w:sz w:val="24"/>
                <w:highlight w:val="none"/>
                <w:lang w:val="en-US" w:eastAsia="zh-CN"/>
              </w:rPr>
              <w:t>1.</w:t>
            </w:r>
            <w:r>
              <w:rPr>
                <w:rFonts w:ascii="宋体" w:hAnsi="宋体" w:cs="Tahoma"/>
                <w:color w:val="auto"/>
                <w:sz w:val="24"/>
                <w:highlight w:val="none"/>
              </w:rPr>
              <w:t>符合专业条件的</w:t>
            </w:r>
            <w:r>
              <w:rPr>
                <w:rFonts w:hint="eastAsia" w:ascii="宋体" w:hAnsi="宋体" w:cs="Tahoma"/>
                <w:color w:val="auto"/>
                <w:sz w:val="24"/>
                <w:highlight w:val="none"/>
              </w:rPr>
              <w:t>投标人</w:t>
            </w:r>
            <w:r>
              <w:rPr>
                <w:rFonts w:ascii="宋体" w:hAnsi="宋体" w:cs="Tahoma"/>
                <w:color w:val="auto"/>
                <w:sz w:val="24"/>
                <w:highlight w:val="none"/>
              </w:rPr>
              <w:t>或者对招标文件作实质响应的</w:t>
            </w:r>
            <w:r>
              <w:rPr>
                <w:rFonts w:hint="eastAsia" w:ascii="宋体" w:hAnsi="宋体" w:cs="Tahoma"/>
                <w:color w:val="auto"/>
                <w:sz w:val="24"/>
                <w:highlight w:val="none"/>
              </w:rPr>
              <w:t>投标人</w:t>
            </w:r>
            <w:r>
              <w:rPr>
                <w:rFonts w:ascii="宋体" w:hAnsi="宋体" w:cs="Tahoma"/>
                <w:color w:val="auto"/>
                <w:sz w:val="24"/>
                <w:highlight w:val="none"/>
              </w:rPr>
              <w:t xml:space="preserve">不足三家的； </w:t>
            </w:r>
          </w:p>
          <w:p w14:paraId="3A6DD901">
            <w:pPr>
              <w:spacing w:line="360" w:lineRule="auto"/>
              <w:rPr>
                <w:rFonts w:ascii="宋体" w:hAnsi="宋体" w:cs="Tahoma"/>
                <w:color w:val="auto"/>
                <w:sz w:val="24"/>
                <w:highlight w:val="none"/>
              </w:rPr>
            </w:pPr>
            <w:r>
              <w:rPr>
                <w:rFonts w:hint="eastAsia" w:ascii="宋体" w:hAnsi="宋体" w:cs="Tahoma"/>
                <w:color w:val="auto"/>
                <w:sz w:val="24"/>
                <w:highlight w:val="none"/>
                <w:lang w:val="en-US" w:eastAsia="zh-CN"/>
              </w:rPr>
              <w:t>2.</w:t>
            </w:r>
            <w:r>
              <w:rPr>
                <w:rFonts w:ascii="宋体" w:hAnsi="宋体" w:cs="Tahoma"/>
                <w:color w:val="auto"/>
                <w:sz w:val="24"/>
                <w:highlight w:val="none"/>
              </w:rPr>
              <w:t xml:space="preserve">出现影响采购公正的违法、违规行为的； </w:t>
            </w:r>
          </w:p>
          <w:p w14:paraId="1FFAC5EB">
            <w:pPr>
              <w:spacing w:line="360" w:lineRule="auto"/>
              <w:rPr>
                <w:rFonts w:ascii="宋体" w:hAnsi="宋体" w:cs="Tahoma"/>
                <w:color w:val="auto"/>
                <w:sz w:val="24"/>
                <w:highlight w:val="none"/>
              </w:rPr>
            </w:pPr>
            <w:r>
              <w:rPr>
                <w:rFonts w:hint="eastAsia" w:ascii="宋体" w:hAnsi="宋体" w:cs="Tahoma"/>
                <w:color w:val="auto"/>
                <w:sz w:val="24"/>
                <w:highlight w:val="none"/>
                <w:lang w:val="en-US" w:eastAsia="zh-CN"/>
              </w:rPr>
              <w:t>3.</w:t>
            </w:r>
            <w:r>
              <w:rPr>
                <w:rFonts w:hint="eastAsia" w:ascii="宋体" w:hAnsi="宋体" w:cs="Tahoma"/>
                <w:color w:val="auto"/>
                <w:sz w:val="24"/>
                <w:highlight w:val="none"/>
              </w:rPr>
              <w:t>投标人</w:t>
            </w:r>
            <w:r>
              <w:rPr>
                <w:rFonts w:ascii="宋体" w:hAnsi="宋体" w:cs="Tahoma"/>
                <w:color w:val="auto"/>
                <w:sz w:val="24"/>
                <w:highlight w:val="none"/>
              </w:rPr>
              <w:t>的报价均超过了</w:t>
            </w:r>
            <w:r>
              <w:rPr>
                <w:rFonts w:hint="eastAsia" w:ascii="宋体" w:hAnsi="宋体" w:cs="Tahoma"/>
                <w:color w:val="auto"/>
                <w:sz w:val="24"/>
                <w:highlight w:val="none"/>
              </w:rPr>
              <w:t>最高限价</w:t>
            </w:r>
            <w:r>
              <w:rPr>
                <w:rFonts w:ascii="宋体" w:hAnsi="宋体" w:cs="Tahoma"/>
                <w:color w:val="auto"/>
                <w:sz w:val="24"/>
                <w:highlight w:val="none"/>
              </w:rPr>
              <w:t>，</w:t>
            </w:r>
            <w:r>
              <w:rPr>
                <w:rFonts w:hint="eastAsia" w:ascii="宋体" w:hAnsi="宋体" w:cs="Tahoma"/>
                <w:color w:val="auto"/>
                <w:sz w:val="24"/>
                <w:highlight w:val="none"/>
              </w:rPr>
              <w:t>招标人</w:t>
            </w:r>
            <w:r>
              <w:rPr>
                <w:rFonts w:ascii="宋体" w:hAnsi="宋体" w:cs="Tahoma"/>
                <w:color w:val="auto"/>
                <w:sz w:val="24"/>
                <w:highlight w:val="none"/>
              </w:rPr>
              <w:t xml:space="preserve">不能支付的； </w:t>
            </w:r>
          </w:p>
          <w:p w14:paraId="22FFD998">
            <w:pPr>
              <w:spacing w:line="360" w:lineRule="auto"/>
              <w:rPr>
                <w:rFonts w:ascii="宋体" w:hAnsi="宋体"/>
                <w:b/>
                <w:color w:val="auto"/>
                <w:sz w:val="24"/>
                <w:highlight w:val="none"/>
              </w:rPr>
            </w:pPr>
            <w:r>
              <w:rPr>
                <w:rFonts w:hint="eastAsia" w:ascii="宋体" w:hAnsi="宋体" w:cs="Tahoma"/>
                <w:color w:val="auto"/>
                <w:sz w:val="24"/>
                <w:highlight w:val="none"/>
                <w:lang w:val="en-US" w:eastAsia="zh-CN"/>
              </w:rPr>
              <w:t>4.</w:t>
            </w:r>
            <w:r>
              <w:rPr>
                <w:rFonts w:ascii="宋体" w:hAnsi="宋体" w:cs="Tahoma"/>
                <w:color w:val="auto"/>
                <w:sz w:val="24"/>
                <w:highlight w:val="none"/>
              </w:rPr>
              <w:t>因重大变故，采购任务取消的。</w:t>
            </w:r>
          </w:p>
        </w:tc>
      </w:tr>
      <w:tr w14:paraId="36C0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98" w:type="dxa"/>
            <w:noWrap/>
            <w:vAlign w:val="center"/>
          </w:tcPr>
          <w:p w14:paraId="0486F796">
            <w:pPr>
              <w:spacing w:line="480" w:lineRule="exact"/>
              <w:jc w:val="center"/>
              <w:rPr>
                <w:rFonts w:ascii="宋体" w:hAnsi="宋体"/>
                <w:color w:val="auto"/>
                <w:sz w:val="24"/>
                <w:highlight w:val="none"/>
              </w:rPr>
            </w:pPr>
            <w:r>
              <w:rPr>
                <w:rFonts w:hint="eastAsia" w:ascii="宋体" w:hAnsi="宋体"/>
                <w:color w:val="auto"/>
                <w:sz w:val="24"/>
                <w:highlight w:val="none"/>
              </w:rPr>
              <w:t>13</w:t>
            </w:r>
          </w:p>
        </w:tc>
        <w:tc>
          <w:tcPr>
            <w:tcW w:w="899" w:type="dxa"/>
            <w:noWrap/>
            <w:vAlign w:val="center"/>
          </w:tcPr>
          <w:p w14:paraId="16923F73">
            <w:pPr>
              <w:spacing w:line="480" w:lineRule="exact"/>
              <w:jc w:val="center"/>
              <w:rPr>
                <w:rFonts w:ascii="宋体" w:hAnsi="宋体"/>
                <w:b/>
                <w:color w:val="auto"/>
                <w:sz w:val="24"/>
                <w:highlight w:val="none"/>
              </w:rPr>
            </w:pPr>
          </w:p>
        </w:tc>
        <w:tc>
          <w:tcPr>
            <w:tcW w:w="8579" w:type="dxa"/>
            <w:noWrap/>
            <w:vAlign w:val="center"/>
          </w:tcPr>
          <w:p w14:paraId="45DD39C8">
            <w:pPr>
              <w:spacing w:line="360" w:lineRule="auto"/>
              <w:rPr>
                <w:rFonts w:ascii="宋体" w:hAnsi="宋体"/>
                <w:b/>
                <w:color w:val="auto"/>
                <w:sz w:val="24"/>
                <w:highlight w:val="none"/>
              </w:rPr>
            </w:pPr>
            <w:r>
              <w:rPr>
                <w:rFonts w:hint="eastAsia" w:ascii="宋体" w:hAnsi="宋体"/>
                <w:b/>
                <w:color w:val="auto"/>
                <w:sz w:val="24"/>
                <w:highlight w:val="none"/>
              </w:rPr>
              <w:t>重大偏差与细微偏差：</w:t>
            </w:r>
          </w:p>
          <w:p w14:paraId="3867AFAA">
            <w:pPr>
              <w:spacing w:line="360" w:lineRule="auto"/>
              <w:rPr>
                <w:rFonts w:ascii="宋体" w:hAnsi="宋体"/>
                <w:b/>
                <w:color w:val="auto"/>
                <w:sz w:val="24"/>
                <w:highlight w:val="none"/>
              </w:rPr>
            </w:pPr>
            <w:r>
              <w:rPr>
                <w:rFonts w:hint="eastAsia" w:ascii="宋体" w:hAnsi="宋体"/>
                <w:b/>
                <w:color w:val="auto"/>
                <w:sz w:val="24"/>
                <w:highlight w:val="none"/>
              </w:rPr>
              <w:t>以下为重大偏差与细微偏差的条款，请各投标人认真审阅。</w:t>
            </w:r>
          </w:p>
          <w:p w14:paraId="14753DCE">
            <w:pPr>
              <w:spacing w:line="360" w:lineRule="auto"/>
              <w:rPr>
                <w:rFonts w:ascii="宋体" w:hAnsi="宋体"/>
                <w:b/>
                <w:color w:val="auto"/>
                <w:sz w:val="24"/>
                <w:highlight w:val="none"/>
              </w:rPr>
            </w:pPr>
            <w:r>
              <w:rPr>
                <w:rFonts w:hint="eastAsia" w:ascii="宋体" w:hAnsi="宋体"/>
                <w:b/>
                <w:color w:val="auto"/>
                <w:sz w:val="24"/>
                <w:highlight w:val="none"/>
              </w:rPr>
              <w:t>（一）重大偏差：</w:t>
            </w:r>
          </w:p>
          <w:p w14:paraId="4F5B7384">
            <w:pPr>
              <w:numPr>
                <w:ilvl w:val="0"/>
                <w:numId w:val="0"/>
              </w:numPr>
              <w:spacing w:line="360" w:lineRule="auto"/>
              <w:ind w:left="360" w:leftChars="0" w:hanging="360" w:firstLineChars="0"/>
              <w:jc w:val="left"/>
              <w:rPr>
                <w:rFonts w:ascii="宋体" w:hAnsi="宋体"/>
                <w:color w:val="auto"/>
                <w:sz w:val="24"/>
                <w:highlight w:val="none"/>
              </w:rPr>
            </w:pPr>
            <w:r>
              <w:rPr>
                <w:rFonts w:hint="default" w:ascii="宋体" w:hAnsi="宋体" w:eastAsia="宋体" w:cs="Times New Roman"/>
                <w:color w:val="auto"/>
                <w:kern w:val="2"/>
                <w:sz w:val="24"/>
                <w:szCs w:val="24"/>
                <w:lang w:val="en-US" w:eastAsia="zh-CN" w:bidi="ar-SA"/>
              </w:rPr>
              <w:t>1、</w:t>
            </w:r>
            <w:r>
              <w:rPr>
                <w:rFonts w:hint="eastAsia" w:ascii="宋体" w:hAnsi="宋体"/>
                <w:color w:val="auto"/>
                <w:sz w:val="24"/>
                <w:highlight w:val="none"/>
              </w:rPr>
              <w:t>投标文件未按招标文件要求加盖公章并由</w:t>
            </w:r>
            <w:r>
              <w:rPr>
                <w:rFonts w:hint="eastAsia" w:ascii="宋体" w:hAnsi="宋体"/>
                <w:color w:val="auto"/>
                <w:sz w:val="24"/>
                <w:highlight w:val="none"/>
                <w:lang w:eastAsia="zh-CN"/>
              </w:rPr>
              <w:t>法定代表</w:t>
            </w:r>
            <w:r>
              <w:rPr>
                <w:rFonts w:hint="eastAsia" w:ascii="宋体" w:hAnsi="宋体"/>
                <w:color w:val="auto"/>
                <w:sz w:val="24"/>
                <w:highlight w:val="none"/>
              </w:rPr>
              <w:t>人或其书面授权的代理人签字的；</w:t>
            </w:r>
          </w:p>
          <w:p w14:paraId="02FA37DB">
            <w:pPr>
              <w:numPr>
                <w:ilvl w:val="0"/>
                <w:numId w:val="0"/>
              </w:numPr>
              <w:spacing w:line="360" w:lineRule="auto"/>
              <w:ind w:left="360" w:leftChars="0" w:hanging="360" w:firstLineChars="0"/>
              <w:rPr>
                <w:rFonts w:ascii="宋体" w:hAnsi="宋体"/>
                <w:color w:val="auto"/>
                <w:sz w:val="24"/>
                <w:highlight w:val="none"/>
              </w:rPr>
            </w:pPr>
            <w:r>
              <w:rPr>
                <w:rFonts w:hint="default" w:ascii="宋体" w:hAnsi="宋体" w:eastAsia="宋体" w:cs="Times New Roman"/>
                <w:color w:val="auto"/>
                <w:kern w:val="2"/>
                <w:sz w:val="24"/>
                <w:szCs w:val="24"/>
                <w:lang w:val="en-US" w:eastAsia="zh-CN" w:bidi="ar-SA"/>
              </w:rPr>
              <w:t>2、</w:t>
            </w:r>
            <w:r>
              <w:rPr>
                <w:rFonts w:hint="eastAsia" w:ascii="宋体" w:hAnsi="宋体"/>
                <w:color w:val="auto"/>
                <w:sz w:val="24"/>
                <w:highlight w:val="none"/>
              </w:rPr>
              <w:t>投标文件中附有招标人不能接受的条件；</w:t>
            </w:r>
          </w:p>
          <w:p w14:paraId="3E421BA3">
            <w:pPr>
              <w:numPr>
                <w:ilvl w:val="0"/>
                <w:numId w:val="0"/>
              </w:numPr>
              <w:spacing w:line="360" w:lineRule="auto"/>
              <w:ind w:left="360" w:leftChars="0" w:hanging="360" w:firstLineChars="0"/>
              <w:rPr>
                <w:rFonts w:ascii="宋体" w:hAnsi="宋体"/>
                <w:color w:val="auto"/>
                <w:sz w:val="24"/>
                <w:highlight w:val="none"/>
              </w:rPr>
            </w:pPr>
            <w:r>
              <w:rPr>
                <w:rFonts w:hint="default" w:ascii="宋体" w:hAnsi="宋体" w:eastAsia="宋体" w:cs="Times New Roman"/>
                <w:color w:val="auto"/>
                <w:kern w:val="2"/>
                <w:sz w:val="24"/>
                <w:szCs w:val="24"/>
                <w:lang w:val="en-US" w:eastAsia="zh-CN" w:bidi="ar-SA"/>
              </w:rPr>
              <w:t>3、</w:t>
            </w:r>
            <w:r>
              <w:rPr>
                <w:rFonts w:hint="eastAsia" w:ascii="宋体" w:hAnsi="宋体"/>
                <w:color w:val="auto"/>
                <w:sz w:val="24"/>
                <w:highlight w:val="none"/>
              </w:rPr>
              <w:t>不符合招标文件中规定的实质性条款；</w:t>
            </w:r>
          </w:p>
          <w:p w14:paraId="7F9C34F1">
            <w:pPr>
              <w:spacing w:line="360" w:lineRule="auto"/>
              <w:rPr>
                <w:rFonts w:ascii="宋体" w:hAnsi="宋体"/>
                <w:b/>
                <w:color w:val="auto"/>
                <w:sz w:val="24"/>
                <w:highlight w:val="none"/>
              </w:rPr>
            </w:pPr>
            <w:r>
              <w:rPr>
                <w:rFonts w:hint="eastAsia" w:ascii="宋体" w:hAnsi="宋体"/>
                <w:b/>
                <w:color w:val="auto"/>
                <w:sz w:val="24"/>
                <w:highlight w:val="none"/>
              </w:rPr>
              <w:t>注：投标人的投标文件若有上述情形之一的，认定为未对招标文件作出实质性响应，作无效投标处理。</w:t>
            </w:r>
          </w:p>
          <w:p w14:paraId="5D98B9FC">
            <w:pPr>
              <w:spacing w:line="360" w:lineRule="auto"/>
              <w:rPr>
                <w:rFonts w:ascii="宋体" w:hAnsi="宋体"/>
                <w:color w:val="auto"/>
                <w:sz w:val="24"/>
                <w:highlight w:val="none"/>
              </w:rPr>
            </w:pPr>
            <w:r>
              <w:rPr>
                <w:rFonts w:hint="eastAsia" w:ascii="宋体" w:hAnsi="宋体"/>
                <w:b/>
                <w:color w:val="auto"/>
                <w:sz w:val="24"/>
                <w:highlight w:val="none"/>
              </w:rPr>
              <w:t>（二）细微偏差：</w:t>
            </w:r>
            <w:r>
              <w:rPr>
                <w:rFonts w:hint="eastAsia" w:ascii="宋体" w:hAnsi="宋体"/>
                <w:color w:val="auto"/>
                <w:sz w:val="24"/>
                <w:highlight w:val="none"/>
              </w:rPr>
              <w:t>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14:paraId="4CA0B411">
            <w:pPr>
              <w:spacing w:line="360" w:lineRule="auto"/>
              <w:ind w:firstLine="235" w:firstLineChars="98"/>
              <w:rPr>
                <w:rFonts w:ascii="宋体" w:hAnsi="宋体"/>
                <w:color w:val="auto"/>
                <w:sz w:val="24"/>
                <w:highlight w:val="none"/>
              </w:rPr>
            </w:pPr>
            <w:r>
              <w:rPr>
                <w:rFonts w:hint="eastAsia" w:ascii="宋体" w:hAnsi="宋体"/>
                <w:color w:val="auto"/>
                <w:sz w:val="24"/>
                <w:highlight w:val="none"/>
              </w:rPr>
              <w:t>评标委员会应当书面要求存在细微偏差的投标人在评标结束前予以补正。补正的程序和方法按照招标文件投标人须知第18条的规定执行。无法补正的，可在评审时对细微偏差</w:t>
            </w:r>
            <w:r>
              <w:rPr>
                <w:rFonts w:hint="eastAsia" w:ascii="宋体" w:hAnsi="宋体"/>
                <w:color w:val="auto"/>
                <w:sz w:val="24"/>
                <w:highlight w:val="none"/>
                <w:lang w:eastAsia="zh-CN"/>
              </w:rPr>
              <w:t>做</w:t>
            </w:r>
            <w:r>
              <w:rPr>
                <w:rFonts w:hint="eastAsia" w:ascii="宋体" w:hAnsi="宋体"/>
                <w:color w:val="auto"/>
                <w:sz w:val="24"/>
                <w:highlight w:val="none"/>
              </w:rPr>
              <w:t>不利于该投标人的认定。</w:t>
            </w:r>
          </w:p>
          <w:p w14:paraId="30B816FD">
            <w:pPr>
              <w:spacing w:line="360" w:lineRule="auto"/>
              <w:rPr>
                <w:rFonts w:ascii="宋体" w:hAnsi="宋体"/>
                <w:b/>
                <w:color w:val="auto"/>
                <w:sz w:val="24"/>
                <w:highlight w:val="none"/>
              </w:rPr>
            </w:pPr>
            <w:r>
              <w:rPr>
                <w:rFonts w:hint="eastAsia" w:ascii="宋体" w:hAnsi="宋体"/>
                <w:b/>
                <w:color w:val="auto"/>
                <w:sz w:val="24"/>
                <w:highlight w:val="none"/>
              </w:rPr>
              <w:t>评标委员会判定重大偏差、细微偏差是依据投标文件，而不寻求其他的外部证据。</w:t>
            </w:r>
          </w:p>
        </w:tc>
      </w:tr>
      <w:tr w14:paraId="4F28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98" w:type="dxa"/>
            <w:noWrap/>
            <w:vAlign w:val="center"/>
          </w:tcPr>
          <w:p w14:paraId="293DBC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highlight w:val="none"/>
              </w:rPr>
            </w:pPr>
            <w:r>
              <w:rPr>
                <w:rFonts w:hint="eastAsia" w:ascii="宋体" w:hAnsi="宋体"/>
                <w:color w:val="auto"/>
                <w:sz w:val="24"/>
                <w:highlight w:val="none"/>
              </w:rPr>
              <w:t>14</w:t>
            </w:r>
          </w:p>
        </w:tc>
        <w:tc>
          <w:tcPr>
            <w:tcW w:w="899" w:type="dxa"/>
            <w:noWrap/>
            <w:vAlign w:val="center"/>
          </w:tcPr>
          <w:p w14:paraId="4244D1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auto"/>
                <w:sz w:val="24"/>
                <w:highlight w:val="none"/>
              </w:rPr>
            </w:pPr>
            <w:r>
              <w:rPr>
                <w:rFonts w:hint="eastAsia" w:ascii="宋体" w:hAnsi="宋体"/>
                <w:color w:val="auto"/>
                <w:sz w:val="24"/>
                <w:highlight w:val="none"/>
              </w:rPr>
              <w:t>24</w:t>
            </w:r>
          </w:p>
        </w:tc>
        <w:tc>
          <w:tcPr>
            <w:tcW w:w="8579" w:type="dxa"/>
            <w:noWrap/>
            <w:vAlign w:val="center"/>
          </w:tcPr>
          <w:p w14:paraId="218B1B9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宋体" w:hAnsi="宋体"/>
                <w:b/>
                <w:color w:val="auto"/>
                <w:sz w:val="24"/>
                <w:highlight w:val="none"/>
              </w:rPr>
            </w:pPr>
            <w:r>
              <w:rPr>
                <w:rFonts w:hint="eastAsia" w:ascii="宋体" w:hAnsi="宋体"/>
                <w:color w:val="auto"/>
                <w:sz w:val="24"/>
                <w:highlight w:val="none"/>
              </w:rPr>
              <w:t>招标项目监督部门：</w:t>
            </w:r>
            <w:r>
              <w:rPr>
                <w:rFonts w:hint="eastAsia" w:ascii="宋体" w:hAnsi="宋体"/>
                <w:color w:val="auto"/>
                <w:sz w:val="24"/>
                <w:highlight w:val="none"/>
                <w:lang w:eastAsia="zh-CN"/>
              </w:rPr>
              <w:t>福建宏达机械有限公司</w:t>
            </w:r>
            <w:r>
              <w:rPr>
                <w:rFonts w:hint="eastAsia" w:ascii="宋体" w:hAnsi="宋体"/>
                <w:color w:val="auto"/>
                <w:sz w:val="24"/>
                <w:highlight w:val="none"/>
              </w:rPr>
              <w:t>监事会</w:t>
            </w:r>
          </w:p>
        </w:tc>
      </w:tr>
    </w:tbl>
    <w:p w14:paraId="33616C00">
      <w:pPr>
        <w:spacing w:line="360" w:lineRule="auto"/>
        <w:ind w:firstLine="466" w:firstLineChars="200"/>
        <w:rPr>
          <w:rFonts w:ascii="宋体"/>
          <w:b/>
          <w:spacing w:val="-4"/>
          <w:sz w:val="24"/>
        </w:rPr>
      </w:pPr>
      <w:bookmarkStart w:id="12" w:name="_Toc20201"/>
      <w:bookmarkStart w:id="13" w:name="_Toc393803915"/>
      <w:bookmarkStart w:id="14" w:name="_Toc455741404"/>
      <w:bookmarkStart w:id="15" w:name="_Toc366826746"/>
      <w:bookmarkStart w:id="16" w:name="_Toc366671492"/>
      <w:bookmarkStart w:id="17" w:name="_Toc405899400"/>
      <w:bookmarkStart w:id="18" w:name="_Toc394923971"/>
      <w:bookmarkStart w:id="19" w:name="_Toc366826834"/>
      <w:bookmarkStart w:id="20" w:name="_Toc405899244"/>
      <w:bookmarkStart w:id="21" w:name="_Toc455741403"/>
      <w:bookmarkStart w:id="22" w:name="_Toc393803830"/>
      <w:bookmarkStart w:id="23" w:name="_Toc353124981"/>
      <w:r>
        <w:rPr>
          <w:rFonts w:hint="eastAsia" w:ascii="宋体" w:hAnsi="宋体"/>
          <w:b/>
          <w:spacing w:val="-4"/>
          <w:sz w:val="24"/>
        </w:rPr>
        <w:t>附件</w:t>
      </w:r>
      <w:r>
        <w:rPr>
          <w:rFonts w:ascii="宋体" w:hAnsi="宋体"/>
          <w:b/>
          <w:spacing w:val="-4"/>
          <w:sz w:val="24"/>
        </w:rPr>
        <w:t>A</w:t>
      </w:r>
      <w:r>
        <w:rPr>
          <w:rFonts w:hint="eastAsia" w:ascii="宋体" w:hAnsi="宋体"/>
          <w:b/>
          <w:spacing w:val="-4"/>
          <w:sz w:val="24"/>
        </w:rPr>
        <w:t>：评标方法</w:t>
      </w:r>
    </w:p>
    <w:p w14:paraId="178D7941">
      <w:pPr>
        <w:spacing w:line="360" w:lineRule="auto"/>
        <w:ind w:firstLine="480" w:firstLineChars="200"/>
        <w:rPr>
          <w:rFonts w:ascii="宋体"/>
          <w:sz w:val="24"/>
        </w:rPr>
      </w:pPr>
      <w:bookmarkStart w:id="24" w:name="_Toc27852"/>
      <w:r>
        <w:rPr>
          <w:rFonts w:hint="eastAsia" w:ascii="宋体" w:hAnsi="宋体"/>
          <w:sz w:val="24"/>
        </w:rPr>
        <w:t>第一条</w:t>
      </w:r>
      <w:r>
        <w:rPr>
          <w:rFonts w:ascii="宋体" w:hAnsi="宋体"/>
          <w:sz w:val="24"/>
        </w:rPr>
        <w:t xml:space="preserve">  </w:t>
      </w:r>
      <w:r>
        <w:rPr>
          <w:rFonts w:hint="eastAsia" w:ascii="宋体" w:hAnsi="宋体"/>
          <w:sz w:val="24"/>
        </w:rPr>
        <w:t>评标标准：</w:t>
      </w:r>
      <w:bookmarkEnd w:id="24"/>
      <w:r>
        <w:rPr>
          <w:rFonts w:hint="eastAsia" w:ascii="宋体" w:hAnsi="宋体"/>
          <w:sz w:val="24"/>
        </w:rPr>
        <w:t>评标工作遵循“公开、公平、公正”和“诚实信用”的原则。评标委员会将按照招标文件规定对各投标人的投标文件采用相同的程序和标准进行评价和比较，评议过程严格按照招标文件的要求和条件进行。</w:t>
      </w:r>
    </w:p>
    <w:p w14:paraId="1E404FA2">
      <w:pPr>
        <w:spacing w:line="360" w:lineRule="auto"/>
        <w:ind w:firstLine="472" w:firstLineChars="196"/>
        <w:rPr>
          <w:rFonts w:ascii="宋体"/>
          <w:spacing w:val="-2"/>
          <w:sz w:val="24"/>
        </w:rPr>
      </w:pPr>
      <w:r>
        <w:rPr>
          <w:rFonts w:hint="eastAsia" w:ascii="宋体" w:hAnsi="宋体"/>
          <w:b/>
          <w:sz w:val="24"/>
        </w:rPr>
        <w:t>第二条</w:t>
      </w:r>
      <w:r>
        <w:rPr>
          <w:rFonts w:ascii="宋体" w:hAnsi="宋体"/>
          <w:b/>
          <w:sz w:val="24"/>
        </w:rPr>
        <w:t xml:space="preserve">  </w:t>
      </w:r>
      <w:r>
        <w:rPr>
          <w:rFonts w:hint="eastAsia" w:ascii="宋体"/>
          <w:b/>
          <w:sz w:val="24"/>
        </w:rPr>
        <w:t>本项目评标采用综合评分法。</w:t>
      </w:r>
    </w:p>
    <w:p w14:paraId="51D20E5C">
      <w:pPr>
        <w:spacing w:line="360" w:lineRule="auto"/>
        <w:ind w:firstLine="538" w:firstLineChars="228"/>
        <w:rPr>
          <w:rFonts w:ascii="宋体"/>
          <w:spacing w:val="-2"/>
          <w:sz w:val="24"/>
        </w:rPr>
      </w:pPr>
      <w:r>
        <w:rPr>
          <w:rFonts w:hint="eastAsia" w:ascii="宋体"/>
          <w:spacing w:val="-2"/>
          <w:sz w:val="24"/>
        </w:rPr>
        <w:t>第一阶段：评标委员会按照招标法律法规及相关规定、招标文件规定的评标方法和标准，对通过资格性及符合性审查的技术商务文件进行评审，评出实质性响应招标文件技术商务要求的投标人，并计算出各投标人技术商务部分的得分。</w:t>
      </w:r>
    </w:p>
    <w:p w14:paraId="7E69D731">
      <w:pPr>
        <w:spacing w:line="360" w:lineRule="auto"/>
        <w:ind w:firstLine="538" w:firstLineChars="228"/>
        <w:rPr>
          <w:b/>
          <w:bCs/>
          <w:sz w:val="24"/>
        </w:rPr>
      </w:pPr>
      <w:r>
        <w:rPr>
          <w:rFonts w:hint="eastAsia" w:ascii="宋体"/>
          <w:spacing w:val="-2"/>
          <w:sz w:val="24"/>
        </w:rPr>
        <w:t>第二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14:paraId="7246127F">
      <w:pPr>
        <w:spacing w:line="400" w:lineRule="exact"/>
        <w:jc w:val="left"/>
        <w:outlineLvl w:val="1"/>
        <w:rPr>
          <w:rFonts w:ascii="宋体" w:cs="宋体"/>
          <w:b/>
          <w:bCs/>
          <w:sz w:val="24"/>
          <w:u w:val="double"/>
        </w:rPr>
      </w:pPr>
      <w:bookmarkStart w:id="25" w:name="_Toc19211"/>
      <w:r>
        <w:rPr>
          <w:rFonts w:hint="eastAsia" w:ascii="宋体"/>
          <w:spacing w:val="-2"/>
          <w:sz w:val="24"/>
        </w:rPr>
        <w:t>最后将两阶段相加汇总计算各合格投标人的综合得分，并按各合格投标人的综合得分由高到低顺序推荐一名中标候选人。若有相同的最高得分，则其中投标总价低的投标人将被排序在前；若有相同的最高得分且投标报价相</w:t>
      </w:r>
      <w:r>
        <w:rPr>
          <w:rFonts w:hint="eastAsia" w:ascii="宋体"/>
          <w:sz w:val="24"/>
        </w:rPr>
        <w:t>同的，则按技术部分得分从高到低顺序进行排列，技术部分得分高的投标人将被排序在前。若</w:t>
      </w:r>
      <w:r>
        <w:rPr>
          <w:rFonts w:hint="eastAsia" w:ascii="宋体"/>
          <w:spacing w:val="-2"/>
          <w:sz w:val="24"/>
        </w:rPr>
        <w:t>综合得分</w:t>
      </w:r>
      <w:r>
        <w:rPr>
          <w:rFonts w:hint="eastAsia" w:ascii="宋体"/>
          <w:sz w:val="24"/>
        </w:rPr>
        <w:t>、</w:t>
      </w:r>
      <w:r>
        <w:rPr>
          <w:rFonts w:hint="eastAsia" w:ascii="宋体"/>
          <w:spacing w:val="-2"/>
          <w:sz w:val="24"/>
        </w:rPr>
        <w:t>投标报价和</w:t>
      </w:r>
      <w:r>
        <w:rPr>
          <w:rFonts w:hint="eastAsia" w:ascii="宋体"/>
          <w:sz w:val="24"/>
        </w:rPr>
        <w:t>技术部分得分均相同的，则由评标委员会通过随机抽取确定中标候选人。</w:t>
      </w:r>
      <w:bookmarkEnd w:id="25"/>
    </w:p>
    <w:p w14:paraId="45B78759">
      <w:pPr>
        <w:spacing w:line="360" w:lineRule="auto"/>
        <w:rPr>
          <w:rFonts w:ascii="宋体"/>
          <w:b/>
          <w:bCs/>
          <w:spacing w:val="-2"/>
          <w:sz w:val="24"/>
          <w:shd w:val="pct10" w:color="auto" w:fill="FFFFFF"/>
        </w:rPr>
      </w:pPr>
      <w:r>
        <w:rPr>
          <w:rFonts w:hint="eastAsia" w:ascii="宋体" w:hAnsi="宋体" w:cs="宋体"/>
          <w:b/>
          <w:bCs/>
          <w:sz w:val="24"/>
        </w:rPr>
        <w:t>合同包</w:t>
      </w:r>
      <w:r>
        <w:rPr>
          <w:rFonts w:ascii="宋体" w:hAnsi="宋体" w:cs="宋体"/>
          <w:b/>
          <w:bCs/>
          <w:sz w:val="24"/>
        </w:rPr>
        <w:t>1</w:t>
      </w:r>
      <w:r>
        <w:rPr>
          <w:rFonts w:hint="eastAsia" w:ascii="宋体" w:hAnsi="宋体" w:cs="宋体"/>
          <w:b/>
          <w:bCs/>
          <w:sz w:val="24"/>
        </w:rPr>
        <w:t>各评分项分值具体如下：</w:t>
      </w:r>
      <w:r>
        <w:rPr>
          <w:rFonts w:ascii="宋体" w:hAnsi="宋体" w:cs="宋体"/>
          <w:b/>
          <w:bCs/>
          <w:sz w:val="24"/>
        </w:rPr>
        <w:t xml:space="preserve"> </w:t>
      </w:r>
    </w:p>
    <w:p w14:paraId="67B94E44">
      <w:pPr>
        <w:spacing w:line="360" w:lineRule="auto"/>
        <w:rPr>
          <w:rFonts w:ascii="宋体"/>
          <w:b/>
          <w:spacing w:val="-2"/>
          <w:sz w:val="24"/>
          <w:shd w:val="pct10" w:color="auto" w:fill="FFFFFF"/>
        </w:rPr>
      </w:pPr>
      <w:r>
        <w:rPr>
          <w:rFonts w:ascii="宋体" w:hAnsi="宋体"/>
          <w:b/>
          <w:spacing w:val="-2"/>
          <w:sz w:val="24"/>
          <w:shd w:val="pct10" w:color="auto" w:fill="FFFFFF"/>
        </w:rPr>
        <w:t>A</w:t>
      </w:r>
      <w:r>
        <w:rPr>
          <w:rFonts w:hint="eastAsia" w:ascii="宋体" w:hAnsi="宋体"/>
          <w:b/>
          <w:spacing w:val="-2"/>
          <w:sz w:val="24"/>
          <w:shd w:val="pct10" w:color="auto" w:fill="FFFFFF"/>
        </w:rPr>
        <w:t>：技术部分评分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hint="eastAsia" w:ascii="宋体" w:hAnsi="宋体"/>
          <w:b/>
          <w:spacing w:val="-2"/>
          <w:sz w:val="24"/>
          <w:shd w:val="pct10" w:color="auto" w:fill="FFFFFF"/>
          <w:lang w:val="en-US" w:eastAsia="zh-CN"/>
        </w:rPr>
        <w:t>65</w:t>
      </w:r>
      <w:r>
        <w:rPr>
          <w:rFonts w:hint="eastAsia" w:ascii="宋体" w:hAnsi="宋体"/>
          <w:b/>
          <w:spacing w:val="-2"/>
          <w:sz w:val="24"/>
          <w:shd w:val="pct10" w:color="auto" w:fill="FFFFFF"/>
        </w:rPr>
        <w:t>分</w:t>
      </w:r>
    </w:p>
    <w:p w14:paraId="0ADFDB44">
      <w:pPr>
        <w:spacing w:line="360" w:lineRule="auto"/>
        <w:rPr>
          <w:rFonts w:ascii="宋体"/>
          <w:b/>
          <w:spacing w:val="-2"/>
          <w:sz w:val="24"/>
          <w:shd w:val="pct10" w:color="auto" w:fill="FFFFFF"/>
        </w:rPr>
      </w:pPr>
      <w:r>
        <w:rPr>
          <w:rFonts w:ascii="宋体" w:hAnsi="宋体"/>
          <w:b/>
          <w:spacing w:val="-2"/>
          <w:sz w:val="24"/>
          <w:shd w:val="pct10" w:color="auto" w:fill="FFFFFF"/>
        </w:rPr>
        <w:t>B</w:t>
      </w:r>
      <w:r>
        <w:rPr>
          <w:rFonts w:hint="eastAsia" w:ascii="宋体" w:hAnsi="宋体"/>
          <w:b/>
          <w:spacing w:val="-2"/>
          <w:sz w:val="24"/>
          <w:shd w:val="pct10" w:color="auto" w:fill="FFFFFF"/>
        </w:rPr>
        <w:t>：商务部分评分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hint="eastAsia" w:ascii="宋体" w:hAnsi="宋体"/>
          <w:b/>
          <w:spacing w:val="-2"/>
          <w:sz w:val="24"/>
          <w:shd w:val="pct10" w:color="auto" w:fill="FFFFFF"/>
          <w:lang w:val="en-US" w:eastAsia="zh-CN"/>
        </w:rPr>
        <w:t>15</w:t>
      </w:r>
      <w:r>
        <w:rPr>
          <w:rFonts w:hint="eastAsia" w:ascii="宋体" w:hAnsi="宋体"/>
          <w:b/>
          <w:spacing w:val="-2"/>
          <w:sz w:val="24"/>
          <w:shd w:val="pct10" w:color="auto" w:fill="FFFFFF"/>
        </w:rPr>
        <w:t>分</w:t>
      </w:r>
    </w:p>
    <w:p w14:paraId="2E59C3B8">
      <w:pPr>
        <w:spacing w:line="360" w:lineRule="auto"/>
        <w:rPr>
          <w:rFonts w:ascii="宋体"/>
          <w:b/>
          <w:spacing w:val="-2"/>
          <w:sz w:val="24"/>
          <w:shd w:val="pct10" w:color="auto" w:fill="FFFFFF"/>
        </w:rPr>
      </w:pPr>
      <w:r>
        <w:rPr>
          <w:rFonts w:ascii="宋体" w:hAnsi="宋体"/>
          <w:b/>
          <w:spacing w:val="-2"/>
          <w:sz w:val="24"/>
          <w:shd w:val="pct10" w:color="auto" w:fill="FFFFFF"/>
        </w:rPr>
        <w:t>C</w:t>
      </w:r>
      <w:r>
        <w:rPr>
          <w:rFonts w:hint="eastAsia" w:ascii="宋体" w:hAnsi="宋体"/>
          <w:b/>
          <w:spacing w:val="-2"/>
          <w:sz w:val="24"/>
          <w:shd w:val="pct10" w:color="auto" w:fill="FFFFFF"/>
        </w:rPr>
        <w:t>：报价部分评分</w:t>
      </w:r>
      <w:r>
        <w:rPr>
          <w:rFonts w:ascii="宋体" w:hAnsi="宋体"/>
          <w:b/>
          <w:spacing w:val="-2"/>
          <w:sz w:val="24"/>
          <w:shd w:val="pct10" w:color="auto" w:fill="FFFFFF"/>
        </w:rPr>
        <w:t xml:space="preserve">           </w:t>
      </w:r>
      <w:r>
        <w:rPr>
          <w:rFonts w:hint="eastAsia" w:ascii="宋体" w:hAnsi="宋体"/>
          <w:b/>
          <w:spacing w:val="-2"/>
          <w:sz w:val="24"/>
          <w:shd w:val="pct10" w:color="auto" w:fill="FFFFFF"/>
        </w:rPr>
        <w:t>满分</w:t>
      </w:r>
      <w:r>
        <w:rPr>
          <w:rFonts w:hint="eastAsia" w:ascii="宋体" w:hAnsi="宋体"/>
          <w:b/>
          <w:spacing w:val="-2"/>
          <w:sz w:val="24"/>
          <w:shd w:val="pct10" w:color="auto" w:fill="FFFFFF"/>
          <w:lang w:val="en-US" w:eastAsia="zh-CN"/>
        </w:rPr>
        <w:t>20</w:t>
      </w:r>
      <w:r>
        <w:rPr>
          <w:rFonts w:hint="eastAsia" w:ascii="宋体" w:hAnsi="宋体"/>
          <w:b/>
          <w:spacing w:val="-2"/>
          <w:sz w:val="24"/>
          <w:shd w:val="pct10" w:color="auto" w:fill="FFFFFF"/>
        </w:rPr>
        <w:t>分</w:t>
      </w:r>
    </w:p>
    <w:p w14:paraId="075C3777">
      <w:pPr>
        <w:spacing w:line="360" w:lineRule="auto"/>
        <w:rPr>
          <w:rFonts w:ascii="宋体"/>
          <w:b/>
          <w:spacing w:val="-2"/>
          <w:sz w:val="24"/>
          <w:shd w:val="pct10" w:color="auto" w:fill="FFFFFF"/>
        </w:rPr>
      </w:pPr>
      <w:r>
        <w:rPr>
          <w:rFonts w:hint="eastAsia" w:ascii="宋体" w:hAnsi="宋体"/>
          <w:b/>
          <w:spacing w:val="-2"/>
          <w:sz w:val="24"/>
          <w:shd w:val="pct10" w:color="auto" w:fill="FFFFFF"/>
        </w:rPr>
        <w:t>各评委评分</w:t>
      </w:r>
      <w:r>
        <w:rPr>
          <w:rFonts w:ascii="宋体" w:hAnsi="宋体"/>
          <w:b/>
          <w:spacing w:val="-2"/>
          <w:sz w:val="24"/>
          <w:shd w:val="pct10" w:color="auto" w:fill="FFFFFF"/>
        </w:rPr>
        <w:t>A</w:t>
      </w:r>
      <w:r>
        <w:rPr>
          <w:rFonts w:hint="eastAsia" w:ascii="宋体" w:hAnsi="宋体"/>
          <w:b/>
          <w:spacing w:val="-2"/>
          <w:sz w:val="24"/>
          <w:shd w:val="pct10" w:color="auto" w:fill="FFFFFF"/>
        </w:rPr>
        <w:t>、</w:t>
      </w:r>
      <w:r>
        <w:rPr>
          <w:rFonts w:ascii="宋体" w:hAnsi="宋体"/>
          <w:b/>
          <w:spacing w:val="-2"/>
          <w:sz w:val="24"/>
          <w:shd w:val="pct10" w:color="auto" w:fill="FFFFFF"/>
        </w:rPr>
        <w:t>B</w:t>
      </w:r>
      <w:r>
        <w:rPr>
          <w:rFonts w:hint="eastAsia" w:ascii="宋体" w:hAnsi="宋体"/>
          <w:b/>
          <w:spacing w:val="-2"/>
          <w:sz w:val="24"/>
          <w:shd w:val="pct10" w:color="auto" w:fill="FFFFFF"/>
        </w:rPr>
        <w:t>部分分别取算术平均值为最终得分，</w:t>
      </w:r>
      <w:r>
        <w:rPr>
          <w:rFonts w:hint="eastAsia" w:ascii="宋体" w:hAnsi="宋体"/>
          <w:b/>
          <w:spacing w:val="-2"/>
          <w:sz w:val="24"/>
          <w:shd w:val="pct10" w:color="auto" w:fill="FFFFFF"/>
          <w:lang w:val="en-US" w:eastAsia="zh-CN"/>
        </w:rPr>
        <w:t>A、B、C部分得分在计算时均最多</w:t>
      </w:r>
      <w:r>
        <w:rPr>
          <w:rFonts w:hint="eastAsia" w:ascii="宋体" w:hAnsi="宋体"/>
          <w:b/>
          <w:spacing w:val="-2"/>
          <w:sz w:val="24"/>
          <w:shd w:val="pct10" w:color="auto" w:fill="FFFFFF"/>
          <w:lang w:eastAsia="zh-CN"/>
        </w:rPr>
        <w:t>保留至</w:t>
      </w:r>
      <w:r>
        <w:rPr>
          <w:rFonts w:hint="eastAsia" w:ascii="宋体" w:hAnsi="宋体"/>
          <w:b/>
          <w:spacing w:val="-2"/>
          <w:sz w:val="24"/>
          <w:shd w:val="pct10" w:color="auto" w:fill="FFFFFF"/>
        </w:rPr>
        <w:t>小数点后</w:t>
      </w:r>
      <w:r>
        <w:rPr>
          <w:rFonts w:hint="eastAsia" w:ascii="宋体" w:hAnsi="宋体"/>
          <w:b/>
          <w:spacing w:val="-2"/>
          <w:sz w:val="24"/>
          <w:shd w:val="pct10" w:color="auto" w:fill="FFFFFF"/>
          <w:lang w:eastAsia="zh-CN"/>
        </w:rPr>
        <w:t>两</w:t>
      </w:r>
      <w:r>
        <w:rPr>
          <w:rFonts w:hint="eastAsia" w:ascii="宋体" w:hAnsi="宋体"/>
          <w:b/>
          <w:spacing w:val="-2"/>
          <w:sz w:val="24"/>
          <w:shd w:val="pct10" w:color="auto" w:fill="FFFFFF"/>
        </w:rPr>
        <w:t>位数</w:t>
      </w:r>
      <w:r>
        <w:rPr>
          <w:rFonts w:hint="eastAsia" w:ascii="宋体" w:hAnsi="宋体"/>
          <w:b/>
          <w:spacing w:val="-2"/>
          <w:sz w:val="24"/>
          <w:shd w:val="pct10" w:color="auto" w:fill="FFFFFF"/>
          <w:lang w:eastAsia="zh-CN"/>
        </w:rPr>
        <w:t>，小数点后第三位四舍五入</w:t>
      </w:r>
      <w:r>
        <w:rPr>
          <w:rFonts w:hint="eastAsia" w:ascii="宋体" w:hAnsi="宋体"/>
          <w:b/>
          <w:spacing w:val="-2"/>
          <w:sz w:val="24"/>
          <w:shd w:val="pct10" w:color="auto" w:fill="FFFFFF"/>
        </w:rPr>
        <w:t>。</w:t>
      </w:r>
    </w:p>
    <w:p w14:paraId="6397645C">
      <w:pPr>
        <w:spacing w:line="360" w:lineRule="auto"/>
        <w:rPr>
          <w:rFonts w:ascii="宋体"/>
          <w:b/>
          <w:spacing w:val="-2"/>
          <w:sz w:val="24"/>
          <w:shd w:val="pct10" w:color="auto" w:fill="FFFFFF"/>
        </w:rPr>
      </w:pPr>
      <w:r>
        <w:rPr>
          <w:rFonts w:hint="eastAsia" w:ascii="宋体" w:hAnsi="宋体"/>
          <w:b/>
          <w:spacing w:val="-2"/>
          <w:sz w:val="24"/>
          <w:shd w:val="pct10" w:color="auto" w:fill="FFFFFF"/>
        </w:rPr>
        <w:t>综合得分为：</w:t>
      </w:r>
      <w:r>
        <w:rPr>
          <w:rFonts w:ascii="宋体" w:hAnsi="宋体"/>
          <w:b/>
          <w:spacing w:val="-2"/>
          <w:sz w:val="24"/>
          <w:shd w:val="pct10" w:color="auto" w:fill="FFFFFF"/>
        </w:rPr>
        <w:t>A+B+C</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888"/>
        <w:gridCol w:w="632"/>
        <w:gridCol w:w="7921"/>
      </w:tblGrid>
      <w:tr w14:paraId="7C08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noWrap/>
            <w:vAlign w:val="center"/>
          </w:tcPr>
          <w:p w14:paraId="612905D8">
            <w:pPr>
              <w:spacing w:line="360" w:lineRule="auto"/>
              <w:jc w:val="center"/>
              <w:rPr>
                <w:rFonts w:ascii="宋体"/>
                <w:sz w:val="24"/>
              </w:rPr>
            </w:pPr>
            <w:r>
              <w:rPr>
                <w:rFonts w:hint="eastAsia" w:ascii="宋体" w:hAnsi="宋体"/>
                <w:sz w:val="24"/>
              </w:rPr>
              <w:t>序号</w:t>
            </w:r>
          </w:p>
        </w:tc>
        <w:tc>
          <w:tcPr>
            <w:tcW w:w="440" w:type="pct"/>
            <w:noWrap/>
            <w:vAlign w:val="center"/>
          </w:tcPr>
          <w:p w14:paraId="2759CCFC">
            <w:pPr>
              <w:spacing w:line="360" w:lineRule="auto"/>
              <w:jc w:val="center"/>
              <w:rPr>
                <w:rFonts w:hint="eastAsia" w:ascii="宋体" w:hAnsi="宋体"/>
                <w:sz w:val="24"/>
              </w:rPr>
            </w:pPr>
            <w:r>
              <w:rPr>
                <w:rFonts w:hint="eastAsia" w:ascii="宋体" w:hAnsi="宋体"/>
                <w:sz w:val="24"/>
              </w:rPr>
              <w:t>评标</w:t>
            </w:r>
          </w:p>
          <w:p w14:paraId="1F49F8A6">
            <w:pPr>
              <w:spacing w:line="360" w:lineRule="auto"/>
              <w:jc w:val="center"/>
              <w:rPr>
                <w:rFonts w:ascii="宋体"/>
                <w:sz w:val="24"/>
              </w:rPr>
            </w:pPr>
            <w:r>
              <w:rPr>
                <w:rFonts w:hint="eastAsia" w:ascii="宋体" w:hAnsi="宋体"/>
                <w:sz w:val="24"/>
              </w:rPr>
              <w:t>项目</w:t>
            </w:r>
          </w:p>
        </w:tc>
        <w:tc>
          <w:tcPr>
            <w:tcW w:w="313" w:type="pct"/>
            <w:noWrap/>
            <w:vAlign w:val="center"/>
          </w:tcPr>
          <w:p w14:paraId="468D1ADD">
            <w:pPr>
              <w:spacing w:line="360" w:lineRule="auto"/>
              <w:jc w:val="center"/>
              <w:rPr>
                <w:rFonts w:hint="eastAsia" w:ascii="宋体" w:hAnsi="宋体"/>
                <w:sz w:val="24"/>
              </w:rPr>
            </w:pPr>
            <w:r>
              <w:rPr>
                <w:rFonts w:hint="eastAsia" w:ascii="宋体" w:hAnsi="宋体"/>
                <w:sz w:val="24"/>
              </w:rPr>
              <w:t>评标</w:t>
            </w:r>
          </w:p>
          <w:p w14:paraId="3F384AF9">
            <w:pPr>
              <w:spacing w:line="360" w:lineRule="auto"/>
              <w:jc w:val="center"/>
              <w:rPr>
                <w:rFonts w:ascii="宋体"/>
                <w:sz w:val="24"/>
              </w:rPr>
            </w:pPr>
            <w:r>
              <w:rPr>
                <w:rFonts w:hint="eastAsia" w:ascii="宋体" w:hAnsi="宋体"/>
                <w:sz w:val="24"/>
              </w:rPr>
              <w:t>权重</w:t>
            </w:r>
          </w:p>
        </w:tc>
        <w:tc>
          <w:tcPr>
            <w:tcW w:w="3928" w:type="pct"/>
            <w:noWrap/>
            <w:vAlign w:val="center"/>
          </w:tcPr>
          <w:p w14:paraId="27B37DAD">
            <w:pPr>
              <w:spacing w:line="360" w:lineRule="auto"/>
              <w:jc w:val="center"/>
              <w:rPr>
                <w:rFonts w:ascii="宋体"/>
                <w:sz w:val="24"/>
              </w:rPr>
            </w:pPr>
            <w:r>
              <w:rPr>
                <w:rFonts w:hint="eastAsia" w:ascii="宋体" w:hAnsi="宋体"/>
                <w:sz w:val="24"/>
              </w:rPr>
              <w:t>评价标准及方法</w:t>
            </w:r>
          </w:p>
        </w:tc>
      </w:tr>
      <w:tr w14:paraId="42D8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tcPr>
          <w:p w14:paraId="108B32EE">
            <w:pPr>
              <w:spacing w:line="360" w:lineRule="auto"/>
              <w:rPr>
                <w:rFonts w:ascii="宋体"/>
                <w:sz w:val="24"/>
              </w:rPr>
            </w:pPr>
            <w:r>
              <w:rPr>
                <w:rFonts w:hint="eastAsia" w:ascii="宋体" w:hAnsi="宋体"/>
                <w:b/>
                <w:spacing w:val="-2"/>
                <w:sz w:val="24"/>
                <w:shd w:val="pct10" w:color="auto" w:fill="FFFFFF"/>
              </w:rPr>
              <w:t>第一阶段技术、商务部分评标：</w:t>
            </w:r>
            <w:r>
              <w:rPr>
                <w:rFonts w:ascii="宋体" w:hAnsi="宋体"/>
                <w:sz w:val="24"/>
              </w:rPr>
              <w:t xml:space="preserve"> </w:t>
            </w:r>
          </w:p>
        </w:tc>
      </w:tr>
      <w:tr w14:paraId="788E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17" w:type="pct"/>
            <w:noWrap/>
            <w:vAlign w:val="center"/>
          </w:tcPr>
          <w:p w14:paraId="604A730C">
            <w:pPr>
              <w:spacing w:line="360" w:lineRule="auto"/>
              <w:jc w:val="center"/>
              <w:rPr>
                <w:rFonts w:ascii="宋体"/>
                <w:b/>
                <w:sz w:val="24"/>
              </w:rPr>
            </w:pPr>
            <w:r>
              <w:rPr>
                <w:rFonts w:hint="eastAsia" w:ascii="宋体" w:hAnsi="宋体"/>
                <w:b/>
                <w:sz w:val="24"/>
              </w:rPr>
              <w:t>一</w:t>
            </w:r>
          </w:p>
        </w:tc>
        <w:tc>
          <w:tcPr>
            <w:tcW w:w="4682" w:type="pct"/>
            <w:gridSpan w:val="3"/>
            <w:noWrap/>
          </w:tcPr>
          <w:p w14:paraId="272DF577">
            <w:pPr>
              <w:spacing w:line="360" w:lineRule="auto"/>
              <w:rPr>
                <w:sz w:val="24"/>
              </w:rPr>
            </w:pPr>
            <w:r>
              <w:rPr>
                <w:rFonts w:hint="eastAsia"/>
                <w:b/>
                <w:bCs/>
                <w:sz w:val="24"/>
              </w:rPr>
              <w:t>技术部分评</w:t>
            </w:r>
            <w:r>
              <w:rPr>
                <w:rFonts w:hint="eastAsia" w:ascii="宋体" w:hAnsi="宋体" w:cs="宋体"/>
                <w:b/>
                <w:bCs/>
                <w:sz w:val="24"/>
              </w:rPr>
              <w:t>分（</w:t>
            </w:r>
            <w:r>
              <w:rPr>
                <w:rFonts w:ascii="宋体" w:hAnsi="宋体" w:cs="宋体"/>
                <w:b/>
                <w:bCs/>
                <w:sz w:val="24"/>
              </w:rPr>
              <w:t>A</w:t>
            </w:r>
            <w:r>
              <w:rPr>
                <w:rFonts w:hint="eastAsia" w:ascii="宋体" w:hAnsi="宋体" w:cs="宋体"/>
                <w:b/>
                <w:bCs/>
                <w:sz w:val="24"/>
              </w:rPr>
              <w:t>满分</w:t>
            </w:r>
            <w:r>
              <w:rPr>
                <w:rFonts w:hint="eastAsia" w:ascii="宋体" w:hAnsi="宋体" w:cs="宋体"/>
                <w:b/>
                <w:bCs/>
                <w:sz w:val="24"/>
                <w:lang w:val="en-US" w:eastAsia="zh-CN"/>
              </w:rPr>
              <w:t>65</w:t>
            </w:r>
            <w:r>
              <w:rPr>
                <w:rFonts w:hint="eastAsia" w:ascii="宋体" w:hAnsi="宋体" w:cs="宋体"/>
                <w:b/>
                <w:bCs/>
                <w:sz w:val="24"/>
              </w:rPr>
              <w:t>分）</w:t>
            </w:r>
          </w:p>
        </w:tc>
      </w:tr>
      <w:tr w14:paraId="517D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noWrap/>
            <w:vAlign w:val="center"/>
          </w:tcPr>
          <w:p w14:paraId="32DD3B73">
            <w:pPr>
              <w:spacing w:line="240" w:lineRule="auto"/>
              <w:jc w:val="center"/>
              <w:rPr>
                <w:rFonts w:hint="eastAsia" w:ascii="宋体" w:hAnsi="宋体" w:eastAsia="宋体" w:cs="宋体"/>
                <w:color w:val="auto"/>
                <w:sz w:val="24"/>
              </w:rPr>
            </w:pPr>
            <w:r>
              <w:rPr>
                <w:rFonts w:hint="eastAsia" w:ascii="宋体" w:hAnsi="宋体" w:eastAsia="宋体" w:cs="宋体"/>
                <w:color w:val="auto"/>
                <w:sz w:val="24"/>
              </w:rPr>
              <w:t>A1</w:t>
            </w:r>
          </w:p>
        </w:tc>
        <w:tc>
          <w:tcPr>
            <w:tcW w:w="440" w:type="pct"/>
            <w:noWrap/>
            <w:vAlign w:val="center"/>
          </w:tcPr>
          <w:p w14:paraId="186582C5">
            <w:pPr>
              <w:keepNext w:val="0"/>
              <w:keepLines w:val="0"/>
              <w:pageBreakBefore w:val="0"/>
              <w:kinsoku/>
              <w:wordWrap/>
              <w:topLinePunct w:val="0"/>
              <w:bidi w:val="0"/>
              <w:snapToGrid/>
              <w:spacing w:line="240" w:lineRule="auto"/>
              <w:jc w:val="both"/>
              <w:rPr>
                <w:rFonts w:hint="eastAsia" w:ascii="宋体" w:hAnsi="宋体" w:eastAsia="宋体" w:cs="宋体"/>
                <w:b/>
                <w:color w:val="auto"/>
                <w:sz w:val="24"/>
              </w:rPr>
            </w:pPr>
            <w:r>
              <w:rPr>
                <w:rFonts w:hint="eastAsia" w:asciiTheme="minorEastAsia" w:hAnsiTheme="minorEastAsia" w:eastAsiaTheme="minorEastAsia" w:cstheme="minorEastAsia"/>
                <w:color w:val="auto"/>
                <w:kern w:val="0"/>
                <w:sz w:val="24"/>
                <w:highlight w:val="none"/>
              </w:rPr>
              <w:t>服务内容响应</w:t>
            </w:r>
          </w:p>
        </w:tc>
        <w:tc>
          <w:tcPr>
            <w:tcW w:w="313" w:type="pct"/>
            <w:noWrap/>
            <w:vAlign w:val="center"/>
          </w:tcPr>
          <w:p w14:paraId="3051C091">
            <w:pPr>
              <w:keepNext w:val="0"/>
              <w:keepLines w:val="0"/>
              <w:pageBreakBefore w:val="0"/>
              <w:kinsoku/>
              <w:wordWrap/>
              <w:topLinePunct w:val="0"/>
              <w:bidi w:val="0"/>
              <w:snapToGrid/>
              <w:spacing w:line="240" w:lineRule="auto"/>
              <w:jc w:val="center"/>
              <w:rPr>
                <w:rFonts w:hint="default" w:ascii="宋体" w:hAnsi="宋体" w:eastAsia="宋体" w:cs="宋体"/>
                <w:color w:val="auto"/>
                <w:sz w:val="24"/>
                <w:lang w:val="en-US" w:eastAsia="zh"/>
                <w:woUserID w:val="2"/>
              </w:rPr>
            </w:pPr>
            <w:r>
              <w:rPr>
                <w:rFonts w:hint="eastAsia" w:asciiTheme="minorEastAsia" w:hAnsiTheme="minorEastAsia" w:eastAsiaTheme="minorEastAsia" w:cstheme="minorEastAsia"/>
                <w:color w:val="auto"/>
                <w:sz w:val="24"/>
                <w:szCs w:val="24"/>
                <w:highlight w:val="none"/>
                <w:lang w:val="en-US" w:eastAsia="zh-CN"/>
              </w:rPr>
              <w:t>26</w:t>
            </w:r>
          </w:p>
        </w:tc>
        <w:tc>
          <w:tcPr>
            <w:tcW w:w="3928" w:type="pct"/>
            <w:noWrap/>
            <w:vAlign w:val="top"/>
          </w:tcPr>
          <w:p w14:paraId="1D92A285">
            <w:pPr>
              <w:spacing w:line="240" w:lineRule="auto"/>
              <w:jc w:val="left"/>
              <w:rPr>
                <w:rFonts w:hint="eastAsia" w:ascii="宋体" w:hAnsi="宋体" w:eastAsia="宋体" w:cs="宋体"/>
                <w:color w:val="auto"/>
                <w:kern w:val="0"/>
                <w:sz w:val="24"/>
                <w:szCs w:val="20"/>
                <w:lang w:val="en-US" w:eastAsia="zh-CN" w:bidi="ar-SA"/>
              </w:rPr>
            </w:pPr>
            <w:r>
              <w:rPr>
                <w:rFonts w:hint="eastAsia" w:ascii="宋体" w:hAnsi="宋体" w:eastAsia="宋体" w:cs="宋体"/>
                <w:color w:val="auto"/>
                <w:kern w:val="0"/>
                <w:sz w:val="24"/>
                <w:highlight w:val="none"/>
              </w:rPr>
              <w:t>根据</w:t>
            </w: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对</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文件第</w:t>
            </w:r>
            <w:r>
              <w:rPr>
                <w:rFonts w:hint="eastAsia" w:ascii="宋体" w:hAnsi="宋体" w:eastAsia="宋体" w:cs="宋体"/>
                <w:color w:val="auto"/>
                <w:kern w:val="0"/>
                <w:sz w:val="24"/>
                <w:highlight w:val="none"/>
                <w:lang w:eastAsia="zh-CN"/>
              </w:rPr>
              <w:t>三</w:t>
            </w:r>
            <w:r>
              <w:rPr>
                <w:rFonts w:hint="eastAsia" w:ascii="宋体" w:hAnsi="宋体" w:eastAsia="宋体" w:cs="宋体"/>
                <w:color w:val="auto"/>
                <w:kern w:val="0"/>
                <w:sz w:val="24"/>
                <w:highlight w:val="none"/>
              </w:rPr>
              <w:t>章“二、技术</w:t>
            </w:r>
            <w:r>
              <w:rPr>
                <w:rFonts w:hint="eastAsia" w:ascii="宋体" w:hAnsi="宋体" w:eastAsia="宋体" w:cs="宋体"/>
                <w:color w:val="auto"/>
                <w:kern w:val="0"/>
                <w:sz w:val="24"/>
                <w:highlight w:val="none"/>
                <w:lang w:eastAsia="zh-CN"/>
              </w:rPr>
              <w:t>和服务</w:t>
            </w:r>
            <w:r>
              <w:rPr>
                <w:rFonts w:hint="eastAsia" w:ascii="宋体" w:hAnsi="宋体" w:eastAsia="宋体" w:cs="宋体"/>
                <w:color w:val="auto"/>
                <w:kern w:val="0"/>
                <w:sz w:val="24"/>
                <w:highlight w:val="none"/>
              </w:rPr>
              <w:t>要求”中各</w:t>
            </w:r>
            <w:r>
              <w:rPr>
                <w:rFonts w:hint="eastAsia" w:ascii="宋体" w:hAnsi="宋体" w:eastAsia="宋体" w:cs="宋体"/>
                <w:color w:val="auto"/>
                <w:kern w:val="0"/>
                <w:sz w:val="24"/>
                <w:highlight w:val="none"/>
                <w:lang w:eastAsia="zh-CN"/>
              </w:rPr>
              <w:t>评审项</w:t>
            </w:r>
            <w:r>
              <w:rPr>
                <w:rFonts w:hint="eastAsia" w:ascii="宋体" w:hAnsi="宋体" w:eastAsia="宋体" w:cs="宋体"/>
                <w:color w:val="auto"/>
                <w:kern w:val="0"/>
                <w:sz w:val="24"/>
                <w:highlight w:val="none"/>
              </w:rPr>
              <w:t>的</w:t>
            </w:r>
            <w:r>
              <w:rPr>
                <w:rFonts w:hint="eastAsia" w:ascii="宋体" w:hAnsi="宋体" w:eastAsia="宋体" w:cs="宋体"/>
                <w:color w:val="auto"/>
                <w:kern w:val="0"/>
                <w:sz w:val="24"/>
                <w:highlight w:val="none"/>
                <w:lang w:eastAsia="zh-CN"/>
              </w:rPr>
              <w:t>投标响应</w:t>
            </w:r>
            <w:r>
              <w:rPr>
                <w:rFonts w:hint="eastAsia" w:ascii="宋体" w:hAnsi="宋体" w:eastAsia="宋体" w:cs="宋体"/>
                <w:color w:val="auto"/>
                <w:kern w:val="0"/>
                <w:sz w:val="24"/>
                <w:highlight w:val="none"/>
              </w:rPr>
              <w:t>情况进行评分</w:t>
            </w:r>
            <w:r>
              <w:rPr>
                <w:rFonts w:hint="eastAsia" w:ascii="宋体" w:hAnsi="宋体" w:eastAsia="宋体" w:cs="宋体"/>
                <w:color w:val="auto"/>
                <w:kern w:val="0"/>
                <w:sz w:val="24"/>
                <w:highlight w:val="none"/>
                <w:lang w:eastAsia="zh-CN"/>
              </w:rPr>
              <w:t>：以每一评审项为一项评审条款，共</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lang w:val="en-US" w:eastAsia="zh-CN"/>
              </w:rPr>
              <w:t>项，</w:t>
            </w:r>
            <w:r>
              <w:rPr>
                <w:rFonts w:hint="eastAsia" w:ascii="宋体" w:hAnsi="宋体" w:eastAsia="宋体" w:cs="宋体"/>
                <w:color w:val="auto"/>
                <w:kern w:val="0"/>
                <w:sz w:val="24"/>
                <w:highlight w:val="none"/>
              </w:rPr>
              <w:t>完全满足</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文件要求的得</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eastAsia="zh-CN"/>
              </w:rPr>
              <w:t>标注“</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的</w:t>
            </w:r>
            <w:r>
              <w:rPr>
                <w:rFonts w:hint="eastAsia" w:ascii="宋体" w:hAnsi="宋体" w:cs="宋体"/>
                <w:color w:val="auto"/>
                <w:kern w:val="0"/>
                <w:sz w:val="24"/>
                <w:highlight w:val="none"/>
                <w:lang w:val="en-US" w:eastAsia="zh-CN"/>
              </w:rPr>
              <w:t>技术参数（</w:t>
            </w:r>
            <w:r>
              <w:rPr>
                <w:rFonts w:hint="eastAsia" w:ascii="宋体" w:hAnsi="宋体" w:eastAsia="宋体" w:cs="宋体"/>
                <w:color w:val="auto"/>
                <w:kern w:val="0"/>
                <w:sz w:val="24"/>
                <w:highlight w:val="none"/>
                <w:lang w:val="en-US" w:eastAsia="zh-CN"/>
              </w:rPr>
              <w:t>共</w:t>
            </w:r>
            <w:r>
              <w:rPr>
                <w:rFonts w:hint="eastAsia" w:ascii="宋体" w:hAnsi="宋体" w:cs="宋体"/>
                <w:color w:val="auto"/>
                <w:kern w:val="0"/>
                <w:sz w:val="24"/>
                <w:highlight w:val="none"/>
                <w:lang w:val="en-US" w:eastAsia="zh-CN"/>
              </w:rPr>
              <w:t>9</w:t>
            </w:r>
            <w:r>
              <w:rPr>
                <w:rFonts w:hint="eastAsia" w:ascii="宋体" w:hAnsi="宋体" w:eastAsia="宋体" w:cs="宋体"/>
                <w:color w:val="auto"/>
                <w:kern w:val="0"/>
                <w:sz w:val="24"/>
                <w:highlight w:val="none"/>
                <w:lang w:val="en-US" w:eastAsia="zh-CN"/>
              </w:rPr>
              <w:t>项</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均为不允许负偏离的实质性要求，有负偏离或未响应的视为无效投标</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未标注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的评审项，每负偏离或未响应一项的扣1</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lang w:val="en-US" w:eastAsia="zh-CN"/>
              </w:rPr>
              <w:t>分，共</w:t>
            </w:r>
            <w:r>
              <w:rPr>
                <w:rFonts w:hint="eastAsia" w:ascii="宋体" w:hAnsi="宋体" w:cs="宋体"/>
                <w:color w:val="auto"/>
                <w:kern w:val="0"/>
                <w:sz w:val="24"/>
                <w:highlight w:val="none"/>
                <w:lang w:val="en-US" w:eastAsia="zh-CN"/>
              </w:rPr>
              <w:t>20</w:t>
            </w:r>
            <w:r>
              <w:rPr>
                <w:rFonts w:hint="eastAsia" w:ascii="宋体" w:hAnsi="宋体" w:eastAsia="宋体" w:cs="宋体"/>
                <w:color w:val="auto"/>
                <w:kern w:val="0"/>
                <w:sz w:val="24"/>
                <w:highlight w:val="none"/>
                <w:lang w:val="en-US" w:eastAsia="zh-CN"/>
              </w:rPr>
              <w:t>项，扣完为止。正偏离不加分。</w:t>
            </w:r>
          </w:p>
        </w:tc>
      </w:tr>
      <w:tr w14:paraId="162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noWrap/>
            <w:vAlign w:val="center"/>
          </w:tcPr>
          <w:p w14:paraId="7A745D20">
            <w:pPr>
              <w:widowControl/>
              <w:spacing w:line="240" w:lineRule="auto"/>
              <w:jc w:val="center"/>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A2</w:t>
            </w:r>
          </w:p>
        </w:tc>
        <w:tc>
          <w:tcPr>
            <w:tcW w:w="440" w:type="pct"/>
            <w:noWrap/>
            <w:vAlign w:val="center"/>
          </w:tcPr>
          <w:p w14:paraId="71FE0F8C">
            <w:pPr>
              <w:widowControl/>
              <w:spacing w:line="240" w:lineRule="auto"/>
              <w:jc w:val="center"/>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食堂经营方案</w:t>
            </w:r>
          </w:p>
        </w:tc>
        <w:tc>
          <w:tcPr>
            <w:tcW w:w="313" w:type="pct"/>
            <w:noWrap/>
            <w:vAlign w:val="center"/>
          </w:tcPr>
          <w:p w14:paraId="78115C23">
            <w:pPr>
              <w:widowControl/>
              <w:spacing w:line="240" w:lineRule="auto"/>
              <w:jc w:val="center"/>
              <w:outlineLvl w:val="9"/>
              <w:rPr>
                <w:rFonts w:hint="eastAsia" w:ascii="宋体" w:hAnsi="宋体" w:eastAsia="宋体" w:cs="宋体"/>
                <w:color w:val="auto"/>
                <w:sz w:val="24"/>
                <w:szCs w:val="24"/>
                <w:highlight w:val="none"/>
                <w:lang w:val="en-US" w:eastAsia="zh" w:bidi="ar"/>
              </w:rPr>
            </w:pPr>
            <w:r>
              <w:rPr>
                <w:rFonts w:hint="eastAsia" w:ascii="宋体" w:hAnsi="宋体" w:eastAsia="宋体" w:cs="宋体"/>
                <w:color w:val="auto"/>
                <w:sz w:val="24"/>
                <w:szCs w:val="24"/>
                <w:highlight w:val="none"/>
                <w:lang w:val="en-US" w:eastAsia="zh-CN" w:bidi="ar"/>
              </w:rPr>
              <w:t>3</w:t>
            </w:r>
          </w:p>
        </w:tc>
        <w:tc>
          <w:tcPr>
            <w:tcW w:w="3928" w:type="pct"/>
            <w:noWrap/>
            <w:vAlign w:val="center"/>
          </w:tcPr>
          <w:p w14:paraId="135413E2">
            <w:pPr>
              <w:widowControl/>
              <w:spacing w:line="240" w:lineRule="auto"/>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针对本项目提供的食堂经营方案（包括但不限于①日常管理制度，②奖惩制度，③上岗前培训计划，④食品安全操作制度，⑤验收制度，⑥仓库管理制度、⑦留样制度，⑧备餐及供餐、烹饪加工，⑨各类特殊事件安全处置），由评委进行评分：</w:t>
            </w:r>
          </w:p>
          <w:p w14:paraId="64DE389C">
            <w:pPr>
              <w:widowControl/>
              <w:spacing w:line="240" w:lineRule="auto"/>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方案包含的要点齐全无缺漏项、内容与要点相符、各要点均有展开详细阐述、针对性强、可实施性高、切合项目实际情况的得3分；</w:t>
            </w:r>
          </w:p>
          <w:p w14:paraId="668CF24A">
            <w:pPr>
              <w:widowControl/>
              <w:spacing w:line="240" w:lineRule="auto"/>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方案包含的要点齐全无缺漏项、针对性较强、可实施性较高，内容与要点相符且均有展开阐述，虽然没有特别具体但总体符合项目实际情况的得2.85分；</w:t>
            </w:r>
          </w:p>
          <w:p w14:paraId="3B03D064">
            <w:pPr>
              <w:widowControl/>
              <w:spacing w:line="240" w:lineRule="auto"/>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方案包含的要点齐全无缺漏项、仅有纲要、内容简略但内容与要点相符，具有一定可实施性和针对性，虽未展开详细阐述但能够适用于本项目的得2.7分；未提供方案或方案要点有缺漏或内容存在明显错误、不适用于本项目的不得分。</w:t>
            </w:r>
          </w:p>
        </w:tc>
      </w:tr>
      <w:tr w14:paraId="2142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noWrap/>
            <w:vAlign w:val="center"/>
          </w:tcPr>
          <w:p w14:paraId="0A2337ED">
            <w:pPr>
              <w:widowControl/>
              <w:spacing w:line="240" w:lineRule="auto"/>
              <w:jc w:val="center"/>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A3</w:t>
            </w:r>
          </w:p>
        </w:tc>
        <w:tc>
          <w:tcPr>
            <w:tcW w:w="440" w:type="pct"/>
            <w:noWrap/>
            <w:vAlign w:val="center"/>
          </w:tcPr>
          <w:p w14:paraId="024D3FDC">
            <w:pPr>
              <w:widowControl/>
              <w:spacing w:line="240" w:lineRule="auto"/>
              <w:jc w:val="center"/>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eastAsia="zh-CN" w:bidi="ar"/>
              </w:rPr>
              <w:t>配餐方案</w:t>
            </w:r>
          </w:p>
        </w:tc>
        <w:tc>
          <w:tcPr>
            <w:tcW w:w="313" w:type="pct"/>
            <w:noWrap/>
            <w:vAlign w:val="center"/>
          </w:tcPr>
          <w:p w14:paraId="366DE74C">
            <w:pPr>
              <w:widowControl/>
              <w:spacing w:line="240" w:lineRule="auto"/>
              <w:jc w:val="center"/>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p>
        </w:tc>
        <w:tc>
          <w:tcPr>
            <w:tcW w:w="3928" w:type="pct"/>
            <w:noWrap/>
            <w:vAlign w:val="center"/>
          </w:tcPr>
          <w:p w14:paraId="324505ED">
            <w:pPr>
              <w:widowControl/>
              <w:spacing w:line="240" w:lineRule="auto"/>
              <w:jc w:val="left"/>
              <w:outlineLvl w:val="9"/>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根据投标人针对本项目</w:t>
            </w:r>
            <w:r>
              <w:rPr>
                <w:rFonts w:hint="eastAsia" w:ascii="宋体" w:hAnsi="宋体" w:eastAsia="宋体" w:cs="宋体"/>
                <w:color w:val="auto"/>
                <w:sz w:val="24"/>
                <w:szCs w:val="24"/>
                <w:highlight w:val="none"/>
                <w:lang w:eastAsia="zh-CN" w:bidi="ar"/>
              </w:rPr>
              <w:t>食堂特点结合实际用餐需求</w:t>
            </w:r>
            <w:r>
              <w:rPr>
                <w:rFonts w:hint="eastAsia" w:ascii="宋体" w:hAnsi="宋体" w:eastAsia="宋体" w:cs="宋体"/>
                <w:color w:val="auto"/>
                <w:sz w:val="24"/>
                <w:szCs w:val="24"/>
                <w:highlight w:val="none"/>
                <w:lang w:val="en-US" w:eastAsia="zh-CN" w:bidi="ar"/>
              </w:rPr>
              <w:t>提供的配餐方案（包括但不限于</w:t>
            </w:r>
            <w:r>
              <w:rPr>
                <w:rFonts w:hint="eastAsia" w:ascii="宋体" w:hAnsi="宋体" w:eastAsia="宋体" w:cs="宋体"/>
                <w:color w:val="auto"/>
                <w:sz w:val="24"/>
                <w:szCs w:val="24"/>
                <w:highlight w:val="none"/>
                <w:lang w:eastAsia="zh-CN" w:bidi="ar"/>
              </w:rPr>
              <w:t>①配餐保障方式，②一星期菜谱及节日菜谱方案</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eastAsia="zh-CN" w:bidi="ar"/>
              </w:rPr>
              <w:t>，由评委进行评分：方案包含的要点齐全无缺漏项、内容与要点相符、各要点均有展开详细阐述、针对性强、可实施性高、切合项目实际情况的得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6368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noWrap/>
            <w:vAlign w:val="center"/>
          </w:tcPr>
          <w:p w14:paraId="32604BD0">
            <w:pPr>
              <w:spacing w:line="24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A4</w:t>
            </w:r>
          </w:p>
        </w:tc>
        <w:tc>
          <w:tcPr>
            <w:tcW w:w="440" w:type="pct"/>
            <w:noWrap/>
            <w:vAlign w:val="center"/>
          </w:tcPr>
          <w:p w14:paraId="2BCF0EC3">
            <w:pPr>
              <w:keepNext w:val="0"/>
              <w:keepLines w:val="0"/>
              <w:pageBreakBefore w:val="0"/>
              <w:kinsoku/>
              <w:wordWrap/>
              <w:topLinePunct w:val="0"/>
              <w:bidi w:val="0"/>
              <w:snapToGrid/>
              <w:spacing w:line="240" w:lineRule="auto"/>
              <w:jc w:val="center"/>
              <w:rPr>
                <w:rFonts w:hint="eastAsia" w:ascii="宋体" w:hAnsi="宋体" w:eastAsia="宋体" w:cs="宋体"/>
                <w:b w:val="0"/>
                <w:bCs/>
                <w:sz w:val="24"/>
                <w:szCs w:val="24"/>
                <w:lang w:val="en-US" w:eastAsia="zh-CN"/>
              </w:rPr>
            </w:pPr>
            <w:r>
              <w:rPr>
                <w:rFonts w:hint="eastAsia" w:asciiTheme="minorEastAsia" w:hAnsiTheme="minorEastAsia" w:eastAsiaTheme="minorEastAsia" w:cstheme="minorEastAsia"/>
                <w:color w:val="auto"/>
                <w:kern w:val="0"/>
                <w:sz w:val="24"/>
                <w:highlight w:val="none"/>
                <w:lang w:val="en-US" w:eastAsia="zh-CN"/>
              </w:rPr>
              <w:t>食品安全保障</w:t>
            </w:r>
          </w:p>
        </w:tc>
        <w:tc>
          <w:tcPr>
            <w:tcW w:w="313" w:type="pct"/>
            <w:noWrap/>
            <w:vAlign w:val="center"/>
          </w:tcPr>
          <w:p w14:paraId="29CC9A16">
            <w:pPr>
              <w:keepNext w:val="0"/>
              <w:keepLines w:val="0"/>
              <w:pageBreakBefore w:val="0"/>
              <w:kinsoku/>
              <w:wordWrap/>
              <w:topLinePunct w:val="0"/>
              <w:bidi w:val="0"/>
              <w:snapToGrid/>
              <w:spacing w:line="240" w:lineRule="auto"/>
              <w:jc w:val="center"/>
              <w:rPr>
                <w:rFonts w:hint="eastAsia" w:ascii="宋体" w:hAnsi="宋体" w:eastAsia="宋体" w:cs="宋体"/>
                <w:color w:val="auto"/>
                <w:sz w:val="24"/>
                <w:lang w:val="en-US" w:eastAsia="zh"/>
                <w:woUserID w:val="2"/>
              </w:rPr>
            </w:pPr>
            <w:r>
              <w:rPr>
                <w:rFonts w:hint="eastAsia" w:asciiTheme="minorEastAsia" w:hAnsiTheme="minorEastAsia" w:eastAsiaTheme="minorEastAsia" w:cstheme="minorEastAsia"/>
                <w:color w:val="auto"/>
                <w:kern w:val="0"/>
                <w:sz w:val="24"/>
                <w:highlight w:val="none"/>
                <w:lang w:val="en-US" w:eastAsia="zh-CN"/>
              </w:rPr>
              <w:t>3</w:t>
            </w:r>
          </w:p>
        </w:tc>
        <w:tc>
          <w:tcPr>
            <w:tcW w:w="3928" w:type="pct"/>
            <w:noWrap/>
            <w:vAlign w:val="center"/>
          </w:tcPr>
          <w:p w14:paraId="211027E4">
            <w:pPr>
              <w:widowControl/>
              <w:spacing w:line="240" w:lineRule="auto"/>
              <w:jc w:val="left"/>
              <w:outlineLvl w:val="9"/>
              <w:rPr>
                <w:rFonts w:hint="eastAsia" w:ascii="宋体" w:hAnsi="宋体" w:eastAsia="宋体" w:cs="宋体"/>
                <w:bCs/>
                <w:color w:val="auto"/>
                <w:sz w:val="24"/>
                <w:lang w:val="en-US"/>
              </w:rPr>
            </w:pPr>
            <w:r>
              <w:rPr>
                <w:rFonts w:ascii="宋体" w:hAnsi="宋体" w:eastAsia="宋体" w:cs="宋体"/>
                <w:color w:val="auto"/>
                <w:kern w:val="0"/>
                <w:sz w:val="24"/>
                <w:szCs w:val="24"/>
                <w:highlight w:val="none"/>
                <w:lang w:val="en-US" w:eastAsia="zh-CN" w:bidi="ar"/>
              </w:rPr>
              <w:t>根据投标人针对本项目所提供食品质量控制方案</w:t>
            </w:r>
            <w:r>
              <w:rPr>
                <w:rFonts w:hint="eastAsia" w:ascii="宋体" w:hAnsi="宋体" w:eastAsia="宋体" w:cs="宋体"/>
                <w:color w:val="auto"/>
                <w:sz w:val="24"/>
                <w:szCs w:val="24"/>
                <w:highlight w:val="none"/>
                <w:lang w:val="en-US" w:eastAsia="zh-CN" w:bidi="ar"/>
              </w:rPr>
              <w:t>（包括但不限于</w:t>
            </w:r>
            <w:r>
              <w:rPr>
                <w:rFonts w:hint="eastAsia" w:ascii="宋体" w:hAnsi="宋体" w:eastAsia="宋体" w:cs="宋体"/>
                <w:color w:val="auto"/>
                <w:sz w:val="24"/>
                <w:szCs w:val="24"/>
                <w:highlight w:val="none"/>
                <w:lang w:eastAsia="zh-CN" w:bidi="ar"/>
              </w:rPr>
              <w:t>①</w:t>
            </w:r>
            <w:r>
              <w:rPr>
                <w:rFonts w:ascii="宋体" w:hAnsi="宋体" w:eastAsia="宋体" w:cs="宋体"/>
                <w:color w:val="auto"/>
                <w:kern w:val="0"/>
                <w:sz w:val="24"/>
                <w:szCs w:val="24"/>
                <w:highlight w:val="none"/>
                <w:lang w:val="en-US" w:eastAsia="zh-CN" w:bidi="ar"/>
              </w:rPr>
              <w:t>食品质量控制</w:t>
            </w:r>
            <w:r>
              <w:rPr>
                <w:rFonts w:hint="eastAsia" w:ascii="宋体" w:hAnsi="宋体" w:eastAsia="宋体" w:cs="宋体"/>
                <w:color w:val="auto"/>
                <w:sz w:val="24"/>
                <w:szCs w:val="24"/>
                <w:highlight w:val="none"/>
                <w:lang w:eastAsia="zh-CN" w:bidi="ar"/>
              </w:rPr>
              <w:t>；②</w:t>
            </w:r>
            <w:r>
              <w:rPr>
                <w:rFonts w:ascii="宋体" w:hAnsi="宋体" w:eastAsia="宋体" w:cs="宋体"/>
                <w:color w:val="auto"/>
                <w:kern w:val="0"/>
                <w:sz w:val="24"/>
                <w:szCs w:val="24"/>
                <w:highlight w:val="none"/>
                <w:lang w:val="en-US" w:eastAsia="zh-CN" w:bidi="ar"/>
              </w:rPr>
              <w:t>质检、检测设备</w:t>
            </w:r>
            <w:r>
              <w:rPr>
                <w:rFonts w:hint="eastAsia" w:ascii="宋体" w:hAnsi="宋体" w:eastAsia="宋体" w:cs="宋体"/>
                <w:color w:val="auto"/>
                <w:sz w:val="24"/>
                <w:szCs w:val="24"/>
                <w:highlight w:val="none"/>
                <w:lang w:val="en-US" w:eastAsia="zh-CN" w:bidi="ar"/>
              </w:rPr>
              <w:t>）</w:t>
            </w:r>
            <w:r>
              <w:rPr>
                <w:rFonts w:hint="eastAsia" w:ascii="宋体" w:hAnsi="宋体" w:eastAsia="宋体" w:cs="宋体"/>
                <w:color w:val="auto"/>
                <w:sz w:val="24"/>
                <w:szCs w:val="24"/>
                <w:highlight w:val="none"/>
                <w:lang w:eastAsia="zh-CN" w:bidi="ar"/>
              </w:rPr>
              <w:t>，由评委进行评分：方案包含的要点齐全无缺漏项、内容与要点相符、各要点均有展开详细阐述、针对性强、可实施性高、切合项目实际情况的得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w:t>
            </w:r>
          </w:p>
        </w:tc>
      </w:tr>
      <w:tr w14:paraId="3676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17" w:type="pct"/>
            <w:noWrap/>
            <w:vAlign w:val="center"/>
          </w:tcPr>
          <w:p w14:paraId="7FE82A4A">
            <w:pPr>
              <w:widowControl/>
              <w:spacing w:line="240" w:lineRule="auto"/>
              <w:jc w:val="center"/>
              <w:outlineLvl w:val="9"/>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A5</w:t>
            </w:r>
          </w:p>
        </w:tc>
        <w:tc>
          <w:tcPr>
            <w:tcW w:w="440" w:type="pct"/>
            <w:noWrap/>
            <w:vAlign w:val="center"/>
          </w:tcPr>
          <w:p w14:paraId="0535488C">
            <w:pPr>
              <w:pStyle w:val="42"/>
              <w:spacing w:line="240" w:lineRule="auto"/>
              <w:jc w:val="center"/>
              <w:rPr>
                <w:rFonts w:hint="eastAsia" w:ascii="宋体" w:hAnsi="宋体" w:eastAsia="宋体" w:cs="宋体"/>
                <w:color w:val="auto"/>
                <w:kern w:val="0"/>
                <w:sz w:val="24"/>
                <w:szCs w:val="24"/>
                <w:lang w:val="en-US" w:eastAsia="zh-CN" w:bidi="ar"/>
              </w:rPr>
            </w:pPr>
            <w:r>
              <w:rPr>
                <w:rFonts w:asciiTheme="majorEastAsia" w:hAnsiTheme="majorEastAsia" w:eastAsiaTheme="majorEastAsia" w:cstheme="majorEastAsia"/>
                <w:kern w:val="2"/>
                <w:sz w:val="24"/>
                <w:szCs w:val="24"/>
              </w:rPr>
              <w:t>卫生保洁方案</w:t>
            </w:r>
          </w:p>
        </w:tc>
        <w:tc>
          <w:tcPr>
            <w:tcW w:w="313" w:type="pct"/>
            <w:noWrap/>
            <w:vAlign w:val="center"/>
          </w:tcPr>
          <w:p w14:paraId="2DD8A708">
            <w:pPr>
              <w:pStyle w:val="42"/>
              <w:spacing w:line="240" w:lineRule="auto"/>
              <w:jc w:val="center"/>
              <w:rPr>
                <w:rFonts w:hint="eastAsia" w:ascii="宋体" w:hAnsi="宋体" w:eastAsia="宋体" w:cs="宋体"/>
                <w:color w:val="auto"/>
                <w:kern w:val="0"/>
                <w:sz w:val="24"/>
                <w:szCs w:val="24"/>
                <w:lang w:val="en-US" w:eastAsia="zh" w:bidi="ar"/>
              </w:rPr>
            </w:pPr>
            <w:r>
              <w:rPr>
                <w:rFonts w:asciiTheme="majorEastAsia" w:hAnsiTheme="majorEastAsia" w:eastAsiaTheme="majorEastAsia" w:cstheme="majorEastAsia"/>
                <w:kern w:val="2"/>
                <w:sz w:val="24"/>
                <w:szCs w:val="24"/>
              </w:rPr>
              <w:t>3</w:t>
            </w:r>
          </w:p>
        </w:tc>
        <w:tc>
          <w:tcPr>
            <w:tcW w:w="3928" w:type="pct"/>
            <w:noWrap/>
            <w:vAlign w:val="top"/>
          </w:tcPr>
          <w:p w14:paraId="1C4AE4BC">
            <w:pPr>
              <w:widowControl/>
              <w:spacing w:line="240" w:lineRule="auto"/>
              <w:jc w:val="left"/>
              <w:outlineLvl w:val="9"/>
              <w:rPr>
                <w:rFonts w:ascii="宋体" w:hAnsi="宋体" w:eastAsia="宋体" w:cs="宋体"/>
                <w:color w:val="auto"/>
                <w:sz w:val="24"/>
                <w:szCs w:val="24"/>
              </w:rPr>
            </w:pPr>
            <w:r>
              <w:rPr>
                <w:rFonts w:ascii="宋体" w:hAnsi="宋体" w:eastAsia="宋体" w:cs="宋体"/>
                <w:color w:val="auto"/>
                <w:kern w:val="2"/>
                <w:sz w:val="24"/>
                <w:szCs w:val="24"/>
              </w:rPr>
              <w:t>根据供应商</w:t>
            </w:r>
            <w:r>
              <w:rPr>
                <w:rFonts w:ascii="宋体" w:hAnsi="宋体" w:eastAsia="宋体" w:cs="宋体"/>
                <w:color w:val="auto"/>
                <w:kern w:val="2"/>
                <w:sz w:val="24"/>
                <w:szCs w:val="24"/>
                <w:lang w:eastAsia="zh-CN"/>
              </w:rPr>
              <w:t>针对本项目</w:t>
            </w:r>
            <w:r>
              <w:rPr>
                <w:rFonts w:ascii="宋体" w:hAnsi="宋体" w:eastAsia="宋体" w:cs="宋体"/>
                <w:color w:val="auto"/>
                <w:kern w:val="2"/>
                <w:sz w:val="24"/>
                <w:szCs w:val="24"/>
              </w:rPr>
              <w:t>提供的卫生保洁方案（包括但不限于：厨房、卫生间、后厨、餐厅、垃圾场等区域以及安排保洁时间节点安排）进行</w:t>
            </w:r>
            <w:r>
              <w:rPr>
                <w:rFonts w:ascii="宋体" w:hAnsi="宋体" w:eastAsia="宋体" w:cs="宋体"/>
                <w:color w:val="auto"/>
                <w:kern w:val="2"/>
                <w:sz w:val="24"/>
                <w:szCs w:val="24"/>
                <w:lang w:eastAsia="zh-CN"/>
              </w:rPr>
              <w:t>评</w:t>
            </w:r>
            <w:r>
              <w:rPr>
                <w:rFonts w:ascii="宋体" w:hAnsi="宋体" w:eastAsia="宋体" w:cs="宋体"/>
                <w:color w:val="auto"/>
                <w:kern w:val="2"/>
                <w:sz w:val="24"/>
                <w:szCs w:val="24"/>
              </w:rPr>
              <w:t>分：</w:t>
            </w:r>
            <w:r>
              <w:rPr>
                <w:rFonts w:ascii="宋体" w:hAnsi="宋体" w:eastAsia="宋体" w:cs="宋体"/>
                <w:color w:val="auto"/>
                <w:sz w:val="24"/>
                <w:szCs w:val="24"/>
                <w:lang w:eastAsia="zh-CN"/>
              </w:rPr>
              <w:t>方案</w:t>
            </w:r>
            <w:r>
              <w:rPr>
                <w:rFonts w:ascii="宋体" w:hAnsi="宋体" w:eastAsia="宋体" w:cs="宋体"/>
                <w:color w:val="auto"/>
                <w:sz w:val="24"/>
                <w:szCs w:val="24"/>
              </w:rPr>
              <w:t>所包含的要点齐全无缺漏项、内容与要点相符、每个要点均有展开详细的阐述且能够适用于本项目</w:t>
            </w:r>
            <w:r>
              <w:rPr>
                <w:rFonts w:ascii="宋体" w:hAnsi="宋体" w:eastAsia="宋体" w:cs="宋体"/>
                <w:color w:val="auto"/>
                <w:sz w:val="24"/>
                <w:szCs w:val="24"/>
                <w:lang w:eastAsia="zh-CN"/>
              </w:rPr>
              <w:t>的</w:t>
            </w:r>
            <w:r>
              <w:rPr>
                <w:rFonts w:ascii="宋体" w:hAnsi="宋体" w:eastAsia="宋体" w:cs="宋体"/>
                <w:color w:val="auto"/>
                <w:sz w:val="24"/>
                <w:szCs w:val="24"/>
              </w:rPr>
              <w:t>得3分；</w:t>
            </w:r>
          </w:p>
          <w:p w14:paraId="3FC048DA">
            <w:pPr>
              <w:widowControl/>
              <w:spacing w:line="240" w:lineRule="auto"/>
              <w:jc w:val="left"/>
              <w:outlineLvl w:val="9"/>
              <w:rPr>
                <w:rFonts w:ascii="宋体" w:hAnsi="宋体" w:eastAsia="宋体" w:cs="宋体"/>
                <w:color w:val="auto"/>
                <w:sz w:val="24"/>
                <w:szCs w:val="24"/>
              </w:rPr>
            </w:pPr>
            <w:r>
              <w:rPr>
                <w:rFonts w:ascii="宋体" w:hAnsi="宋体" w:eastAsia="宋体" w:cs="宋体"/>
                <w:color w:val="auto"/>
                <w:sz w:val="24"/>
                <w:szCs w:val="24"/>
                <w:lang w:eastAsia="zh-CN"/>
              </w:rPr>
              <w:t>方案</w:t>
            </w:r>
            <w:r>
              <w:rPr>
                <w:rFonts w:ascii="宋体" w:hAnsi="宋体" w:eastAsia="宋体" w:cs="宋体"/>
                <w:color w:val="auto"/>
                <w:sz w:val="24"/>
                <w:szCs w:val="24"/>
              </w:rPr>
              <w:t>所包含的要点齐全、内容与要点相符、每个要点均有展开阐述（没有特别具体）但基本能够适用于本项目的得</w:t>
            </w:r>
            <w:r>
              <w:rPr>
                <w:rFonts w:ascii="宋体" w:hAnsi="宋体" w:eastAsia="宋体" w:cs="宋体"/>
                <w:color w:val="auto"/>
                <w:sz w:val="24"/>
                <w:szCs w:val="24"/>
                <w:lang w:eastAsia="zh-CN"/>
              </w:rPr>
              <w:t>2.</w:t>
            </w:r>
            <w:r>
              <w:rPr>
                <w:rFonts w:hint="eastAsia" w:ascii="宋体" w:hAnsi="宋体" w:cs="宋体"/>
                <w:color w:val="auto"/>
                <w:sz w:val="24"/>
                <w:szCs w:val="24"/>
                <w:lang w:val="en-US" w:eastAsia="zh-CN"/>
              </w:rPr>
              <w:t>85</w:t>
            </w:r>
            <w:r>
              <w:rPr>
                <w:rFonts w:ascii="宋体" w:hAnsi="宋体" w:eastAsia="宋体" w:cs="宋体"/>
                <w:color w:val="auto"/>
                <w:sz w:val="24"/>
                <w:szCs w:val="24"/>
              </w:rPr>
              <w:t>分；</w:t>
            </w:r>
          </w:p>
          <w:p w14:paraId="399BC222">
            <w:pPr>
              <w:widowControl/>
              <w:spacing w:line="240" w:lineRule="auto"/>
              <w:jc w:val="left"/>
              <w:outlineLvl w:val="9"/>
              <w:rPr>
                <w:rFonts w:ascii="宋体" w:hAnsi="宋体" w:eastAsia="宋体" w:cs="宋体"/>
                <w:color w:val="auto"/>
                <w:sz w:val="24"/>
                <w:szCs w:val="24"/>
              </w:rPr>
            </w:pPr>
            <w:r>
              <w:rPr>
                <w:rFonts w:ascii="宋体" w:hAnsi="宋体" w:eastAsia="宋体" w:cs="宋体"/>
                <w:color w:val="auto"/>
                <w:sz w:val="24"/>
                <w:szCs w:val="24"/>
                <w:lang w:eastAsia="zh-CN"/>
              </w:rPr>
              <w:t>方案</w:t>
            </w:r>
            <w:r>
              <w:rPr>
                <w:rFonts w:ascii="宋体" w:hAnsi="宋体" w:eastAsia="宋体" w:cs="宋体"/>
                <w:color w:val="auto"/>
                <w:sz w:val="24"/>
                <w:szCs w:val="24"/>
              </w:rPr>
              <w:t>所包含的要点齐全、内容与要点相符但仅有纲要、内容简略，未展开详细阐述但基本能够适用于本项目的得</w:t>
            </w:r>
            <w:r>
              <w:rPr>
                <w:rFonts w:ascii="宋体" w:hAnsi="宋体" w:eastAsia="宋体" w:cs="宋体"/>
                <w:color w:val="auto"/>
                <w:sz w:val="24"/>
                <w:szCs w:val="24"/>
                <w:lang w:eastAsia="zh-CN"/>
              </w:rPr>
              <w:t>2.</w:t>
            </w:r>
            <w:r>
              <w:rPr>
                <w:rFonts w:hint="eastAsia" w:ascii="宋体" w:hAnsi="宋体" w:cs="宋体"/>
                <w:color w:val="auto"/>
                <w:sz w:val="24"/>
                <w:szCs w:val="24"/>
                <w:lang w:val="en-US" w:eastAsia="zh-CN"/>
              </w:rPr>
              <w:t>7</w:t>
            </w:r>
            <w:r>
              <w:rPr>
                <w:rFonts w:ascii="宋体" w:hAnsi="宋体" w:eastAsia="宋体" w:cs="宋体"/>
                <w:color w:val="auto"/>
                <w:sz w:val="24"/>
                <w:szCs w:val="24"/>
              </w:rPr>
              <w:t>分；</w:t>
            </w:r>
          </w:p>
          <w:p w14:paraId="37D18205">
            <w:pPr>
              <w:widowControl/>
              <w:spacing w:line="240" w:lineRule="auto"/>
              <w:jc w:val="left"/>
              <w:outlineLvl w:val="9"/>
              <w:rPr>
                <w:rFonts w:hint="eastAsia" w:ascii="宋体" w:hAnsi="宋体" w:eastAsia="宋体" w:cs="宋体"/>
                <w:color w:val="auto"/>
                <w:kern w:val="0"/>
                <w:sz w:val="24"/>
                <w:szCs w:val="24"/>
                <w:lang w:val="en-US" w:eastAsia="zh-CN" w:bidi="ar"/>
              </w:rPr>
            </w:pPr>
            <w:r>
              <w:rPr>
                <w:rFonts w:ascii="宋体" w:hAnsi="宋体" w:eastAsia="宋体" w:cs="宋体"/>
                <w:color w:val="auto"/>
                <w:sz w:val="24"/>
                <w:szCs w:val="24"/>
                <w:lang w:eastAsia="zh-CN"/>
              </w:rPr>
              <w:t>方案</w:t>
            </w:r>
            <w:r>
              <w:rPr>
                <w:rFonts w:ascii="宋体" w:hAnsi="宋体" w:eastAsia="宋体" w:cs="宋体"/>
                <w:color w:val="auto"/>
                <w:sz w:val="24"/>
                <w:szCs w:val="24"/>
              </w:rPr>
              <w:t>所包含的要点有缺漏、未提供或内容存在明显错误、内容明显不适用于本项目需求的均不得分。</w:t>
            </w:r>
          </w:p>
        </w:tc>
      </w:tr>
      <w:tr w14:paraId="6F45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restart"/>
            <w:noWrap/>
            <w:vAlign w:val="center"/>
          </w:tcPr>
          <w:p w14:paraId="603DFC28">
            <w:pPr>
              <w:widowControl/>
              <w:spacing w:line="240" w:lineRule="auto"/>
              <w:jc w:val="center"/>
              <w:outlineLvl w:val="9"/>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A6</w:t>
            </w:r>
          </w:p>
        </w:tc>
        <w:tc>
          <w:tcPr>
            <w:tcW w:w="440" w:type="pct"/>
            <w:vMerge w:val="restart"/>
            <w:noWrap/>
            <w:vAlign w:val="center"/>
          </w:tcPr>
          <w:p w14:paraId="2B0D266D">
            <w:pPr>
              <w:keepNext w:val="0"/>
              <w:keepLines w:val="0"/>
              <w:pageBreakBefore w:val="0"/>
              <w:kinsoku/>
              <w:wordWrap/>
              <w:topLinePunct w:val="0"/>
              <w:bidi w:val="0"/>
              <w:snapToGrid/>
              <w:spacing w:line="240" w:lineRule="auto"/>
              <w:jc w:val="both"/>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服务团队</w:t>
            </w:r>
          </w:p>
          <w:p w14:paraId="77592FCA">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313" w:type="pct"/>
            <w:noWrap/>
            <w:vAlign w:val="center"/>
          </w:tcPr>
          <w:p w14:paraId="7011B8A2">
            <w:pPr>
              <w:keepNext w:val="0"/>
              <w:keepLines w:val="0"/>
              <w:pageBreakBefore w:val="0"/>
              <w:kinsoku/>
              <w:wordWrap/>
              <w:topLinePunct w:val="0"/>
              <w:bidi w:val="0"/>
              <w:snapToGrid/>
              <w:spacing w:line="240" w:lineRule="auto"/>
              <w:jc w:val="center"/>
              <w:rPr>
                <w:rFonts w:hint="eastAsia" w:ascii="宋体" w:hAnsi="宋体" w:eastAsia="宋体" w:cs="宋体"/>
                <w:color w:val="auto"/>
                <w:kern w:val="0"/>
                <w:sz w:val="24"/>
                <w:szCs w:val="24"/>
                <w:lang w:val="en-US" w:eastAsia="zh-CN" w:bidi="ar"/>
              </w:rPr>
            </w:pPr>
            <w:r>
              <w:rPr>
                <w:rFonts w:hint="eastAsia" w:asciiTheme="minorEastAsia" w:hAnsiTheme="minorEastAsia" w:eastAsiaTheme="minorEastAsia" w:cstheme="minorEastAsia"/>
                <w:color w:val="auto"/>
                <w:kern w:val="0"/>
                <w:sz w:val="24"/>
                <w:highlight w:val="none"/>
                <w:lang w:val="en-US" w:eastAsia="zh-CN"/>
              </w:rPr>
              <w:t>1</w:t>
            </w:r>
          </w:p>
        </w:tc>
        <w:tc>
          <w:tcPr>
            <w:tcW w:w="3928" w:type="pct"/>
            <w:noWrap/>
            <w:vAlign w:val="center"/>
          </w:tcPr>
          <w:p w14:paraId="3159932E">
            <w:pPr>
              <w:pStyle w:val="42"/>
              <w:keepNext w:val="0"/>
              <w:keepLines w:val="0"/>
              <w:pageBreakBefore w:val="0"/>
              <w:kinsoku/>
              <w:wordWrap/>
              <w:topLinePunct w:val="0"/>
              <w:bidi w:val="0"/>
              <w:snapToGrid/>
              <w:spacing w:line="240" w:lineRule="auto"/>
              <w:jc w:val="both"/>
              <w:rPr>
                <w:rFonts w:hint="eastAsia" w:ascii="宋体" w:hAnsi="宋体" w:eastAsia="宋体" w:cs="宋体"/>
                <w:b w:val="0"/>
                <w:bCs w:val="0"/>
                <w:color w:val="auto"/>
                <w:spacing w:val="0"/>
                <w:position w:val="0"/>
                <w:sz w:val="24"/>
                <w:highlight w:val="none"/>
                <w:u w:val="none"/>
                <w:shd w:val="clear" w:color="auto" w:fill="auto"/>
                <w:lang w:eastAsia="zh-CN"/>
              </w:rPr>
            </w:pPr>
            <w:r>
              <w:rPr>
                <w:rFonts w:hint="eastAsia" w:asciiTheme="minorEastAsia" w:hAnsiTheme="minorEastAsia" w:eastAsiaTheme="minorEastAsia" w:cstheme="minorEastAsia"/>
                <w:b w:val="0"/>
                <w:bCs w:val="0"/>
                <w:color w:val="auto"/>
                <w:kern w:val="0"/>
                <w:sz w:val="24"/>
                <w:highlight w:val="none"/>
                <w:u w:val="none"/>
                <w:lang w:val="en-US" w:eastAsia="zh-CN"/>
              </w:rPr>
              <w:t>6.1根据</w:t>
            </w:r>
            <w:r>
              <w:rPr>
                <w:rFonts w:hint="eastAsia" w:asciiTheme="minorEastAsia" w:hAnsiTheme="minorEastAsia" w:eastAsiaTheme="minorEastAsia" w:cstheme="minorEastAsia"/>
                <w:b w:val="0"/>
                <w:bCs w:val="0"/>
                <w:color w:val="auto"/>
                <w:kern w:val="0"/>
                <w:sz w:val="24"/>
                <w:highlight w:val="none"/>
                <w:u w:val="none"/>
              </w:rPr>
              <w:t>投标人拟派的项目经理</w:t>
            </w:r>
            <w:r>
              <w:rPr>
                <w:rFonts w:hint="eastAsia" w:asciiTheme="minorEastAsia" w:hAnsiTheme="minorEastAsia" w:eastAsiaTheme="minorEastAsia" w:cstheme="minorEastAsia"/>
                <w:b w:val="0"/>
                <w:bCs w:val="0"/>
                <w:color w:val="auto"/>
                <w:kern w:val="0"/>
                <w:sz w:val="24"/>
                <w:highlight w:val="none"/>
                <w:u w:val="none"/>
                <w:lang w:bidi="ar"/>
              </w:rPr>
              <w:t>具有餐饮烹饪相关技能证书的得</w:t>
            </w:r>
            <w:r>
              <w:rPr>
                <w:rFonts w:hint="eastAsia" w:asciiTheme="minorEastAsia" w:hAnsiTheme="minorEastAsia" w:eastAsiaTheme="minorEastAsia" w:cstheme="minorEastAsia"/>
                <w:b w:val="0"/>
                <w:bCs w:val="0"/>
                <w:color w:val="auto"/>
                <w:kern w:val="0"/>
                <w:sz w:val="24"/>
                <w:highlight w:val="none"/>
                <w:u w:val="none"/>
                <w:lang w:val="en-US" w:eastAsia="zh-CN" w:bidi="ar"/>
              </w:rPr>
              <w:t>1</w:t>
            </w:r>
            <w:r>
              <w:rPr>
                <w:rFonts w:hint="eastAsia" w:asciiTheme="minorEastAsia" w:hAnsiTheme="minorEastAsia" w:eastAsiaTheme="minorEastAsia" w:cstheme="minorEastAsia"/>
                <w:b w:val="0"/>
                <w:bCs w:val="0"/>
                <w:color w:val="auto"/>
                <w:kern w:val="0"/>
                <w:sz w:val="24"/>
                <w:highlight w:val="none"/>
                <w:u w:val="none"/>
                <w:lang w:bidi="ar"/>
              </w:rPr>
              <w:t>分</w:t>
            </w:r>
            <w:r>
              <w:rPr>
                <w:rFonts w:hint="eastAsia" w:asciiTheme="minorEastAsia" w:hAnsiTheme="minorEastAsia" w:eastAsiaTheme="minorEastAsia" w:cstheme="minorEastAsia"/>
                <w:b w:val="0"/>
                <w:bCs w:val="0"/>
                <w:color w:val="auto"/>
                <w:kern w:val="0"/>
                <w:sz w:val="24"/>
                <w:highlight w:val="none"/>
                <w:u w:val="none"/>
                <w:lang w:eastAsia="zh-CN" w:bidi="ar"/>
              </w:rPr>
              <w:t>，</w:t>
            </w:r>
            <w:r>
              <w:rPr>
                <w:rFonts w:hint="eastAsia" w:asciiTheme="minorEastAsia" w:hAnsiTheme="minorEastAsia" w:eastAsiaTheme="minorEastAsia" w:cstheme="minorEastAsia"/>
                <w:b w:val="0"/>
                <w:bCs w:val="0"/>
                <w:color w:val="auto"/>
                <w:kern w:val="0"/>
                <w:sz w:val="24"/>
                <w:highlight w:val="none"/>
                <w:u w:val="none"/>
              </w:rPr>
              <w:t>须提供有效的</w:t>
            </w:r>
            <w:r>
              <w:rPr>
                <w:rFonts w:hint="eastAsia" w:asciiTheme="minorEastAsia" w:hAnsiTheme="minorEastAsia" w:eastAsiaTheme="minorEastAsia" w:cstheme="minorEastAsia"/>
                <w:b w:val="0"/>
                <w:bCs w:val="0"/>
                <w:color w:val="auto"/>
                <w:kern w:val="0"/>
                <w:sz w:val="24"/>
                <w:highlight w:val="none"/>
                <w:u w:val="none"/>
                <w:lang w:val="en-US" w:eastAsia="zh-CN"/>
              </w:rPr>
              <w:t>身份证（正面、反面）复印件、</w:t>
            </w:r>
            <w:r>
              <w:rPr>
                <w:rFonts w:hint="eastAsia" w:ascii="宋体" w:hAnsi="宋体" w:cs="宋体"/>
                <w:b w:val="0"/>
                <w:bCs w:val="0"/>
                <w:color w:val="auto"/>
                <w:kern w:val="0"/>
                <w:sz w:val="24"/>
                <w:highlight w:val="none"/>
                <w:u w:val="none"/>
              </w:rPr>
              <w:t>提供相关证书复印件及投标截止时间前六个月中任一月份由投标人单位为其缴纳的社会保险凭据复印件【若投标人为投标截止时间的当月成立的公司可提供依法缴纳社会保障资金承诺书（格式自拟）】。所有材料缺一不可，否则不得分。</w:t>
            </w:r>
          </w:p>
          <w:p w14:paraId="0678D5D0">
            <w:pPr>
              <w:keepNext w:val="0"/>
              <w:keepLines w:val="0"/>
              <w:pageBreakBefore w:val="0"/>
              <w:kinsoku/>
              <w:wordWrap/>
              <w:topLinePunct w:val="0"/>
              <w:bidi w:val="0"/>
              <w:snapToGrid/>
              <w:spacing w:line="240" w:lineRule="auto"/>
              <w:jc w:val="left"/>
              <w:rPr>
                <w:rFonts w:hint="eastAsia" w:ascii="宋体" w:hAnsi="宋体" w:eastAsia="宋体" w:cs="宋体"/>
                <w:b w:val="0"/>
                <w:bCs w:val="0"/>
                <w:color w:val="auto"/>
                <w:kern w:val="0"/>
                <w:sz w:val="24"/>
                <w:szCs w:val="24"/>
                <w:u w:val="none"/>
                <w:lang w:val="en-US" w:eastAsia="zh-CN" w:bidi="ar"/>
              </w:rPr>
            </w:pPr>
            <w:r>
              <w:rPr>
                <w:rFonts w:hint="eastAsia" w:asciiTheme="minorEastAsia" w:hAnsiTheme="minorEastAsia" w:eastAsiaTheme="minorEastAsia" w:cstheme="minorEastAsia"/>
                <w:b w:val="0"/>
                <w:bCs w:val="0"/>
                <w:strike w:val="0"/>
                <w:dstrike w:val="0"/>
                <w:color w:val="auto"/>
                <w:kern w:val="0"/>
                <w:sz w:val="24"/>
                <w:highlight w:val="none"/>
                <w:u w:val="none"/>
                <w:lang w:eastAsia="zh-CN"/>
              </w:rPr>
              <w:t>注：该</w:t>
            </w:r>
            <w:r>
              <w:rPr>
                <w:rFonts w:hint="eastAsia" w:asciiTheme="minorEastAsia" w:hAnsiTheme="minorEastAsia" w:eastAsiaTheme="minorEastAsia" w:cstheme="minorEastAsia"/>
                <w:b w:val="0"/>
                <w:bCs w:val="0"/>
                <w:color w:val="auto"/>
                <w:kern w:val="0"/>
                <w:sz w:val="24"/>
                <w:highlight w:val="none"/>
                <w:u w:val="none"/>
                <w:lang w:val="en-US" w:eastAsia="zh-CN"/>
              </w:rPr>
              <w:t>评分项的人员不得与别的评分项中人员重复，否则本项不得分。</w:t>
            </w:r>
          </w:p>
        </w:tc>
      </w:tr>
      <w:tr w14:paraId="6996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586DA491">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440" w:type="pct"/>
            <w:vMerge w:val="continue"/>
            <w:noWrap/>
            <w:vAlign w:val="center"/>
          </w:tcPr>
          <w:p w14:paraId="7CEBFA58">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313" w:type="pct"/>
            <w:noWrap/>
            <w:vAlign w:val="center"/>
          </w:tcPr>
          <w:p w14:paraId="28A05038">
            <w:pPr>
              <w:pStyle w:val="42"/>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bidi="ar-SA"/>
              </w:rPr>
              <w:t>3</w:t>
            </w:r>
          </w:p>
        </w:tc>
        <w:tc>
          <w:tcPr>
            <w:tcW w:w="3928" w:type="pct"/>
            <w:noWrap/>
            <w:vAlign w:val="top"/>
          </w:tcPr>
          <w:p w14:paraId="3B1BE6F2">
            <w:pPr>
              <w:pStyle w:val="42"/>
              <w:keepNext w:val="0"/>
              <w:keepLines w:val="0"/>
              <w:pageBreakBefore w:val="0"/>
              <w:kinsoku/>
              <w:wordWrap/>
              <w:topLinePunct w:val="0"/>
              <w:bidi w:val="0"/>
              <w:snapToGrid/>
              <w:spacing w:line="240" w:lineRule="auto"/>
              <w:jc w:val="both"/>
              <w:rPr>
                <w:rFonts w:hint="eastAsia" w:asciiTheme="minorEastAsia" w:hAnsiTheme="minorEastAsia" w:eastAsiaTheme="minorEastAsia" w:cstheme="minorEastAsia"/>
                <w:b w:val="0"/>
                <w:bCs w:val="0"/>
                <w:color w:val="auto"/>
                <w:kern w:val="0"/>
                <w:sz w:val="24"/>
                <w:highlight w:val="none"/>
                <w:u w:val="none"/>
                <w:lang w:val="en-US" w:eastAsia="zh-CN" w:bidi="ar-SA"/>
              </w:rPr>
            </w:pPr>
            <w:r>
              <w:rPr>
                <w:rFonts w:hint="eastAsia" w:asciiTheme="minorEastAsia" w:hAnsiTheme="minorEastAsia" w:eastAsiaTheme="minorEastAsia" w:cstheme="minorEastAsia"/>
                <w:b w:val="0"/>
                <w:bCs w:val="0"/>
                <w:color w:val="auto"/>
                <w:kern w:val="0"/>
                <w:sz w:val="24"/>
                <w:highlight w:val="none"/>
                <w:u w:val="none"/>
                <w:lang w:val="en-US" w:eastAsia="zh-CN"/>
              </w:rPr>
              <w:t>6.</w:t>
            </w:r>
            <w:r>
              <w:rPr>
                <w:rFonts w:hint="eastAsia" w:asciiTheme="minorEastAsia" w:hAnsiTheme="minorEastAsia" w:eastAsiaTheme="minorEastAsia" w:cstheme="minorEastAsia"/>
                <w:b w:val="0"/>
                <w:bCs w:val="0"/>
                <w:color w:val="auto"/>
                <w:kern w:val="0"/>
                <w:sz w:val="24"/>
                <w:highlight w:val="none"/>
                <w:u w:val="none"/>
                <w:lang w:val="en-US" w:eastAsia="zh-CN" w:bidi="ar-SA"/>
              </w:rPr>
              <w:t>2根据投标人</w:t>
            </w:r>
            <w:r>
              <w:rPr>
                <w:rFonts w:hint="eastAsia" w:asciiTheme="minorEastAsia" w:hAnsiTheme="minorEastAsia" w:eastAsiaTheme="minorEastAsia" w:cstheme="minorEastAsia"/>
                <w:b w:val="0"/>
                <w:bCs w:val="0"/>
                <w:color w:val="auto"/>
                <w:sz w:val="24"/>
                <w:highlight w:val="none"/>
                <w:u w:val="none"/>
              </w:rPr>
              <w:t>拟派的</w:t>
            </w:r>
            <w:r>
              <w:rPr>
                <w:rFonts w:hint="eastAsia" w:asciiTheme="minorEastAsia" w:hAnsiTheme="minorEastAsia" w:eastAsiaTheme="minorEastAsia" w:cstheme="minorEastAsia"/>
                <w:b w:val="0"/>
                <w:bCs w:val="0"/>
                <w:color w:val="auto"/>
                <w:kern w:val="0"/>
                <w:sz w:val="24"/>
                <w:highlight w:val="none"/>
                <w:u w:val="none"/>
              </w:rPr>
              <w:t>服务团队</w:t>
            </w:r>
            <w:r>
              <w:rPr>
                <w:rFonts w:hint="eastAsia" w:asciiTheme="minorEastAsia" w:hAnsiTheme="minorEastAsia" w:eastAsiaTheme="minorEastAsia" w:cstheme="minorEastAsia"/>
                <w:b w:val="0"/>
                <w:bCs w:val="0"/>
                <w:color w:val="auto"/>
                <w:sz w:val="24"/>
                <w:highlight w:val="none"/>
                <w:u w:val="none"/>
              </w:rPr>
              <w:t>人员</w:t>
            </w:r>
            <w:r>
              <w:rPr>
                <w:rFonts w:hint="eastAsia" w:asciiTheme="minorEastAsia" w:hAnsiTheme="minorEastAsia" w:eastAsiaTheme="minorEastAsia" w:cstheme="minorEastAsia"/>
                <w:b w:val="0"/>
                <w:bCs w:val="0"/>
                <w:color w:val="auto"/>
                <w:kern w:val="0"/>
                <w:sz w:val="24"/>
                <w:highlight w:val="none"/>
                <w:u w:val="none"/>
                <w:lang w:val="en-US" w:eastAsia="zh-CN" w:bidi="ar-SA"/>
              </w:rPr>
              <w:t>中具有营养师证的情况进行评分： 每提供1人</w:t>
            </w:r>
            <w:r>
              <w:rPr>
                <w:rFonts w:hint="eastAsia" w:asciiTheme="minorEastAsia" w:hAnsiTheme="minorEastAsia" w:cstheme="minorEastAsia"/>
                <w:b w:val="0"/>
                <w:bCs w:val="0"/>
                <w:color w:val="auto"/>
                <w:kern w:val="0"/>
                <w:sz w:val="24"/>
                <w:highlight w:val="none"/>
                <w:u w:val="none"/>
                <w:lang w:val="en-US" w:eastAsia="zh-CN" w:bidi="ar-SA"/>
              </w:rPr>
              <w:t>具有</w:t>
            </w:r>
            <w:r>
              <w:rPr>
                <w:rFonts w:hint="eastAsia" w:asciiTheme="minorEastAsia" w:hAnsiTheme="minorEastAsia" w:eastAsiaTheme="minorEastAsia" w:cstheme="minorEastAsia"/>
                <w:b w:val="0"/>
                <w:bCs w:val="0"/>
                <w:color w:val="auto"/>
                <w:kern w:val="0"/>
                <w:sz w:val="24"/>
                <w:highlight w:val="none"/>
                <w:u w:val="none"/>
                <w:lang w:val="en-US" w:eastAsia="zh-CN" w:bidi="ar-SA"/>
              </w:rPr>
              <w:t>营养师</w:t>
            </w:r>
            <w:r>
              <w:rPr>
                <w:rFonts w:hint="eastAsia" w:asciiTheme="minorEastAsia" w:hAnsiTheme="minorEastAsia" w:cstheme="minorEastAsia"/>
                <w:b w:val="0"/>
                <w:bCs w:val="0"/>
                <w:color w:val="auto"/>
                <w:kern w:val="0"/>
                <w:sz w:val="24"/>
                <w:highlight w:val="none"/>
                <w:u w:val="none"/>
                <w:lang w:val="en-US" w:eastAsia="zh-CN" w:bidi="ar-SA"/>
              </w:rPr>
              <w:t>职业证书</w:t>
            </w:r>
            <w:r>
              <w:rPr>
                <w:rFonts w:hint="eastAsia" w:asciiTheme="minorEastAsia" w:hAnsiTheme="minorEastAsia" w:eastAsiaTheme="minorEastAsia" w:cstheme="minorEastAsia"/>
                <w:b w:val="0"/>
                <w:bCs w:val="0"/>
                <w:color w:val="auto"/>
                <w:kern w:val="0"/>
                <w:sz w:val="24"/>
                <w:highlight w:val="none"/>
                <w:u w:val="none"/>
                <w:lang w:val="en-US" w:eastAsia="zh-CN" w:bidi="ar-SA"/>
              </w:rPr>
              <w:t>的</w:t>
            </w:r>
            <w:r>
              <w:rPr>
                <w:rFonts w:hint="eastAsia" w:asciiTheme="minorEastAsia" w:hAnsiTheme="minorEastAsia" w:cstheme="minorEastAsia"/>
                <w:b w:val="0"/>
                <w:bCs w:val="0"/>
                <w:color w:val="auto"/>
                <w:kern w:val="0"/>
                <w:sz w:val="24"/>
                <w:highlight w:val="none"/>
                <w:u w:val="none"/>
                <w:lang w:val="en-US" w:eastAsia="zh-CN" w:bidi="ar-SA"/>
              </w:rPr>
              <w:t>得</w:t>
            </w:r>
            <w:r>
              <w:rPr>
                <w:rFonts w:hint="eastAsia" w:asciiTheme="minorEastAsia" w:hAnsiTheme="minorEastAsia" w:eastAsiaTheme="minorEastAsia" w:cstheme="minorEastAsia"/>
                <w:b w:val="0"/>
                <w:bCs w:val="0"/>
                <w:color w:val="auto"/>
                <w:kern w:val="0"/>
                <w:sz w:val="24"/>
                <w:highlight w:val="none"/>
                <w:u w:val="none"/>
                <w:lang w:val="en-US" w:eastAsia="zh-CN" w:bidi="ar-SA"/>
              </w:rPr>
              <w:t xml:space="preserve">1分，满分3分。 </w:t>
            </w:r>
          </w:p>
          <w:p w14:paraId="04C8D388">
            <w:pPr>
              <w:pStyle w:val="42"/>
              <w:keepNext w:val="0"/>
              <w:keepLines w:val="0"/>
              <w:pageBreakBefore w:val="0"/>
              <w:kinsoku/>
              <w:wordWrap/>
              <w:topLinePunct w:val="0"/>
              <w:bidi w:val="0"/>
              <w:snapToGrid/>
              <w:spacing w:line="240" w:lineRule="auto"/>
              <w:jc w:val="both"/>
              <w:rPr>
                <w:rFonts w:hint="eastAsia" w:ascii="宋体" w:hAnsi="宋体" w:eastAsia="宋体" w:cs="宋体"/>
                <w:b w:val="0"/>
                <w:bCs w:val="0"/>
                <w:color w:val="auto"/>
                <w:spacing w:val="0"/>
                <w:position w:val="0"/>
                <w:sz w:val="24"/>
                <w:highlight w:val="none"/>
                <w:u w:val="none"/>
                <w:shd w:val="clear" w:color="auto" w:fill="auto"/>
                <w:lang w:eastAsia="zh-CN"/>
              </w:rPr>
            </w:pPr>
            <w:r>
              <w:rPr>
                <w:rFonts w:hint="eastAsia" w:asciiTheme="minorEastAsia" w:hAnsiTheme="minorEastAsia" w:eastAsiaTheme="minorEastAsia" w:cstheme="minorEastAsia"/>
                <w:b w:val="0"/>
                <w:bCs w:val="0"/>
                <w:color w:val="auto"/>
                <w:kern w:val="0"/>
                <w:sz w:val="24"/>
                <w:highlight w:val="none"/>
                <w:u w:val="none"/>
              </w:rPr>
              <w:t>须提供有效的</w:t>
            </w:r>
            <w:r>
              <w:rPr>
                <w:rFonts w:hint="eastAsia" w:asciiTheme="minorEastAsia" w:hAnsiTheme="minorEastAsia" w:eastAsiaTheme="minorEastAsia" w:cstheme="minorEastAsia"/>
                <w:b w:val="0"/>
                <w:bCs w:val="0"/>
                <w:color w:val="auto"/>
                <w:kern w:val="0"/>
                <w:sz w:val="24"/>
                <w:highlight w:val="none"/>
                <w:u w:val="none"/>
                <w:lang w:val="en-US" w:eastAsia="zh-CN"/>
              </w:rPr>
              <w:t>身份证（正面、反面）复印件、</w:t>
            </w:r>
            <w:r>
              <w:rPr>
                <w:rFonts w:hint="eastAsia" w:ascii="宋体" w:hAnsi="宋体" w:cs="宋体"/>
                <w:b w:val="0"/>
                <w:bCs w:val="0"/>
                <w:color w:val="auto"/>
                <w:kern w:val="0"/>
                <w:sz w:val="24"/>
                <w:highlight w:val="none"/>
                <w:u w:val="none"/>
              </w:rPr>
              <w:t>提供相关证书复印件及投标截止时间前六个月中任一月份由投标人单位为其缴纳的社会保险凭据复印件【若投标人为投标截止时间的当月成立的公司可提供依法缴纳社会保障资金承诺书（格式自拟）】。所有材料缺一不可，否则不得分。</w:t>
            </w:r>
          </w:p>
          <w:p w14:paraId="01CE2920">
            <w:pPr>
              <w:pStyle w:val="42"/>
              <w:keepNext w:val="0"/>
              <w:keepLines w:val="0"/>
              <w:pageBreakBefore w:val="0"/>
              <w:kinsoku/>
              <w:wordWrap/>
              <w:topLinePunct w:val="0"/>
              <w:bidi w:val="0"/>
              <w:snapToGrid/>
              <w:spacing w:line="240" w:lineRule="auto"/>
              <w:jc w:val="both"/>
              <w:rPr>
                <w:rFonts w:hint="eastAsia" w:asciiTheme="minorEastAsia" w:hAnsiTheme="minorEastAsia" w:eastAsiaTheme="minorEastAsia" w:cstheme="minorEastAsia"/>
                <w:b w:val="0"/>
                <w:bCs w:val="0"/>
                <w:color w:val="auto"/>
                <w:kern w:val="0"/>
                <w:sz w:val="24"/>
                <w:highlight w:val="none"/>
                <w:u w:val="none"/>
              </w:rPr>
            </w:pPr>
            <w:r>
              <w:rPr>
                <w:rFonts w:hint="eastAsia" w:asciiTheme="minorEastAsia" w:hAnsiTheme="minorEastAsia" w:eastAsiaTheme="minorEastAsia" w:cstheme="minorEastAsia"/>
                <w:b w:val="0"/>
                <w:bCs w:val="0"/>
                <w:strike w:val="0"/>
                <w:dstrike w:val="0"/>
                <w:color w:val="auto"/>
                <w:kern w:val="0"/>
                <w:sz w:val="24"/>
                <w:highlight w:val="none"/>
                <w:u w:val="none"/>
                <w:lang w:eastAsia="zh-CN"/>
              </w:rPr>
              <w:t>注：该</w:t>
            </w:r>
            <w:r>
              <w:rPr>
                <w:rFonts w:hint="eastAsia" w:asciiTheme="minorEastAsia" w:hAnsiTheme="minorEastAsia" w:eastAsiaTheme="minorEastAsia" w:cstheme="minorEastAsia"/>
                <w:b w:val="0"/>
                <w:bCs w:val="0"/>
                <w:color w:val="auto"/>
                <w:kern w:val="0"/>
                <w:sz w:val="24"/>
                <w:highlight w:val="none"/>
                <w:u w:val="none"/>
                <w:lang w:val="en-US" w:eastAsia="zh-CN"/>
              </w:rPr>
              <w:t>评分项的人员不得与别的评分项中人员重复，否则本项不得分。</w:t>
            </w:r>
          </w:p>
        </w:tc>
      </w:tr>
      <w:tr w14:paraId="40AC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1A65180C">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440" w:type="pct"/>
            <w:vMerge w:val="continue"/>
            <w:noWrap/>
            <w:vAlign w:val="center"/>
          </w:tcPr>
          <w:p w14:paraId="6CD9DBA9">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313" w:type="pct"/>
            <w:noWrap/>
            <w:vAlign w:val="center"/>
          </w:tcPr>
          <w:p w14:paraId="601A56EC">
            <w:pPr>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3</w:t>
            </w:r>
          </w:p>
        </w:tc>
        <w:tc>
          <w:tcPr>
            <w:tcW w:w="3928" w:type="pct"/>
            <w:noWrap/>
            <w:vAlign w:val="center"/>
          </w:tcPr>
          <w:p w14:paraId="47A61C76">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根据投标人拟派的</w:t>
            </w:r>
            <w:r>
              <w:rPr>
                <w:rFonts w:hint="eastAsia" w:asciiTheme="minorEastAsia" w:hAnsiTheme="minorEastAsia" w:eastAsiaTheme="minorEastAsia" w:cstheme="minorEastAsia"/>
                <w:color w:val="auto"/>
                <w:kern w:val="0"/>
                <w:sz w:val="24"/>
                <w:highlight w:val="none"/>
              </w:rPr>
              <w:t>服务团队</w:t>
            </w:r>
            <w:r>
              <w:rPr>
                <w:rFonts w:hint="eastAsia" w:asciiTheme="minorEastAsia" w:hAnsiTheme="minorEastAsia" w:eastAsiaTheme="minorEastAsia" w:cstheme="minorEastAsia"/>
                <w:color w:val="auto"/>
                <w:sz w:val="24"/>
                <w:highlight w:val="none"/>
              </w:rPr>
              <w:t>人员参</w:t>
            </w:r>
            <w:r>
              <w:rPr>
                <w:rFonts w:hint="eastAsia" w:asciiTheme="minorEastAsia" w:hAnsiTheme="minorEastAsia" w:eastAsiaTheme="minorEastAsia" w:cstheme="minorEastAsia"/>
                <w:color w:val="auto"/>
                <w:sz w:val="24"/>
                <w:highlight w:val="none"/>
                <w:lang w:val="en-US" w:eastAsia="zh-CN"/>
              </w:rPr>
              <w:t>加</w:t>
            </w:r>
            <w:r>
              <w:rPr>
                <w:rFonts w:hint="eastAsia" w:asciiTheme="minorEastAsia" w:hAnsiTheme="minorEastAsia" w:eastAsiaTheme="minorEastAsia" w:cstheme="minorEastAsia"/>
                <w:color w:val="auto"/>
                <w:sz w:val="24"/>
                <w:highlight w:val="none"/>
              </w:rPr>
              <w:t>过政府部门或相关行业举办的关于食品安全培训的情况进行评</w:t>
            </w:r>
            <w:r>
              <w:rPr>
                <w:rFonts w:hint="eastAsia" w:asciiTheme="minorEastAsia" w:hAnsiTheme="minorEastAsia" w:eastAsiaTheme="minorEastAsia" w:cstheme="minorEastAsia"/>
                <w:color w:val="auto"/>
                <w:sz w:val="24"/>
                <w:highlight w:val="none"/>
                <w:lang w:val="en-US" w:eastAsia="zh-CN"/>
              </w:rPr>
              <w:t>分</w:t>
            </w:r>
            <w:r>
              <w:rPr>
                <w:rFonts w:hint="eastAsia" w:asciiTheme="minorEastAsia" w:hAnsiTheme="minorEastAsia" w:eastAsiaTheme="minorEastAsia" w:cstheme="minorEastAsia"/>
                <w:color w:val="auto"/>
                <w:sz w:val="24"/>
                <w:highlight w:val="none"/>
              </w:rPr>
              <w:t>：每提供1人参加</w:t>
            </w:r>
            <w:r>
              <w:rPr>
                <w:rFonts w:hint="eastAsia" w:asciiTheme="minorEastAsia" w:hAnsiTheme="minorEastAsia" w:eastAsiaTheme="minorEastAsia" w:cstheme="minorEastAsia"/>
                <w:color w:val="auto"/>
                <w:sz w:val="24"/>
                <w:highlight w:val="none"/>
                <w:lang w:eastAsia="zh-CN"/>
              </w:rPr>
              <w:t>过</w:t>
            </w:r>
            <w:r>
              <w:rPr>
                <w:rFonts w:hint="eastAsia" w:asciiTheme="minorEastAsia" w:hAnsiTheme="minorEastAsia" w:eastAsiaTheme="minorEastAsia" w:cstheme="minorEastAsia"/>
                <w:color w:val="auto"/>
                <w:sz w:val="24"/>
                <w:highlight w:val="none"/>
              </w:rPr>
              <w:t>培训的得1分，满分</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分。</w:t>
            </w:r>
          </w:p>
          <w:p w14:paraId="41CC4836">
            <w:pPr>
              <w:pStyle w:val="42"/>
              <w:keepNext w:val="0"/>
              <w:keepLines w:val="0"/>
              <w:pageBreakBefore w:val="0"/>
              <w:kinsoku/>
              <w:wordWrap/>
              <w:topLinePunct w:val="0"/>
              <w:bidi w:val="0"/>
              <w:snapToGrid/>
              <w:spacing w:line="240" w:lineRule="auto"/>
              <w:jc w:val="both"/>
              <w:rPr>
                <w:rFonts w:hint="eastAsia" w:ascii="宋体" w:hAnsi="宋体" w:eastAsia="宋体" w:cs="宋体"/>
                <w:color w:val="auto"/>
                <w:spacing w:val="0"/>
                <w:positio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rPr>
              <w:t>须提供有效的</w:t>
            </w:r>
            <w:r>
              <w:rPr>
                <w:rFonts w:hint="eastAsia" w:asciiTheme="minorEastAsia" w:hAnsiTheme="minorEastAsia" w:eastAsiaTheme="minorEastAsia" w:cstheme="minorEastAsia"/>
                <w:color w:val="auto"/>
                <w:kern w:val="0"/>
                <w:sz w:val="24"/>
                <w:highlight w:val="none"/>
                <w:lang w:val="en-US" w:eastAsia="zh-CN"/>
              </w:rPr>
              <w:t>身份证（正面、反面）复印件、</w:t>
            </w:r>
            <w:r>
              <w:rPr>
                <w:rFonts w:hint="eastAsia" w:ascii="宋体" w:hAnsi="宋体" w:cs="宋体"/>
                <w:color w:val="auto"/>
                <w:kern w:val="0"/>
                <w:sz w:val="24"/>
                <w:highlight w:val="none"/>
              </w:rPr>
              <w:t>相关证书复印件及投标截止时间前六个月中任一月份由投标人单位为其缴纳的社会保险凭据复印件【若投标人为投标截止时间的当月成立的公司可提供依法缴纳社会保障资金</w:t>
            </w:r>
            <w:r>
              <w:rPr>
                <w:rFonts w:hint="eastAsia" w:ascii="宋体" w:hAnsi="宋体" w:cs="宋体"/>
                <w:b/>
                <w:bCs/>
                <w:color w:val="auto"/>
                <w:kern w:val="0"/>
                <w:sz w:val="24"/>
                <w:highlight w:val="none"/>
                <w:u w:val="single"/>
              </w:rPr>
              <w:t>承诺书（格式自拟）</w:t>
            </w:r>
            <w:r>
              <w:rPr>
                <w:rFonts w:hint="eastAsia" w:ascii="宋体" w:hAnsi="宋体" w:cs="宋体"/>
                <w:color w:val="auto"/>
                <w:kern w:val="0"/>
                <w:sz w:val="24"/>
                <w:highlight w:val="none"/>
              </w:rPr>
              <w:t>】。所有材料缺一不可，否则不得分。</w:t>
            </w:r>
          </w:p>
          <w:p w14:paraId="41BCF9E3">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bCs w:val="0"/>
                <w:strike w:val="0"/>
                <w:dstrike w:val="0"/>
                <w:color w:val="auto"/>
                <w:kern w:val="0"/>
                <w:sz w:val="24"/>
                <w:highlight w:val="none"/>
                <w:u w:val="none"/>
                <w:lang w:eastAsia="zh-CN"/>
              </w:rPr>
              <w:t>注：该</w:t>
            </w:r>
            <w:r>
              <w:rPr>
                <w:rFonts w:hint="eastAsia" w:asciiTheme="minorEastAsia" w:hAnsiTheme="minorEastAsia" w:eastAsiaTheme="minorEastAsia" w:cstheme="minorEastAsia"/>
                <w:b w:val="0"/>
                <w:bCs w:val="0"/>
                <w:color w:val="auto"/>
                <w:kern w:val="0"/>
                <w:sz w:val="24"/>
                <w:highlight w:val="none"/>
                <w:u w:val="none"/>
                <w:lang w:val="en-US" w:eastAsia="zh-CN"/>
              </w:rPr>
              <w:t>评分项的人员不得与别的评分项中人员重复，否则本项不得分。</w:t>
            </w:r>
          </w:p>
        </w:tc>
      </w:tr>
      <w:tr w14:paraId="6440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5169BC98">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440" w:type="pct"/>
            <w:vMerge w:val="continue"/>
            <w:noWrap/>
            <w:vAlign w:val="center"/>
          </w:tcPr>
          <w:p w14:paraId="57780231">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313" w:type="pct"/>
            <w:noWrap/>
            <w:vAlign w:val="center"/>
          </w:tcPr>
          <w:p w14:paraId="5C70462B">
            <w:pPr>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w:t>
            </w:r>
          </w:p>
        </w:tc>
        <w:tc>
          <w:tcPr>
            <w:tcW w:w="3928" w:type="pct"/>
            <w:noWrap/>
            <w:vAlign w:val="center"/>
          </w:tcPr>
          <w:p w14:paraId="264C6221">
            <w:pPr>
              <w:pStyle w:val="42"/>
              <w:keepNext w:val="0"/>
              <w:keepLines w:val="0"/>
              <w:pageBreakBefore w:val="0"/>
              <w:kinsoku/>
              <w:wordWrap/>
              <w:topLinePunct w:val="0"/>
              <w:bidi w:val="0"/>
              <w:snapToGrid/>
              <w:spacing w:line="240" w:lineRule="auto"/>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6.4为保证项目的顺利实施，便于因考评或者其他不可抗力因素引起的需更换厨师（副厨）的情况，投标人拟派厨师（副厨）在满足招标文件的基础上，多配备一名具有中级及以上职业证书的厨师加1分，满分2分。</w:t>
            </w:r>
          </w:p>
          <w:p w14:paraId="2769DA41">
            <w:pPr>
              <w:pStyle w:val="42"/>
              <w:keepNext w:val="0"/>
              <w:keepLines w:val="0"/>
              <w:pageBreakBefore w:val="0"/>
              <w:kinsoku/>
              <w:wordWrap/>
              <w:topLinePunct w:val="0"/>
              <w:bidi w:val="0"/>
              <w:snapToGrid/>
              <w:spacing w:line="240" w:lineRule="auto"/>
              <w:jc w:val="both"/>
              <w:rPr>
                <w:rFonts w:hint="eastAsia" w:ascii="宋体" w:hAnsi="宋体" w:eastAsia="宋体" w:cs="宋体"/>
                <w:color w:val="auto"/>
                <w:spacing w:val="0"/>
                <w:positio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rPr>
              <w:t>须提供有效的</w:t>
            </w:r>
            <w:r>
              <w:rPr>
                <w:rFonts w:hint="eastAsia" w:asciiTheme="minorEastAsia" w:hAnsiTheme="minorEastAsia" w:eastAsiaTheme="minorEastAsia" w:cstheme="minorEastAsia"/>
                <w:color w:val="auto"/>
                <w:kern w:val="0"/>
                <w:sz w:val="24"/>
                <w:highlight w:val="none"/>
                <w:lang w:val="en-US" w:eastAsia="zh-CN"/>
              </w:rPr>
              <w:t>身份证（正面、反面）复印件、</w:t>
            </w:r>
            <w:r>
              <w:rPr>
                <w:rFonts w:hint="eastAsia" w:ascii="宋体" w:hAnsi="宋体" w:cs="宋体"/>
                <w:color w:val="auto"/>
                <w:kern w:val="0"/>
                <w:sz w:val="24"/>
                <w:highlight w:val="none"/>
              </w:rPr>
              <w:t>提供相关证书复印件及投标截止时间前六个月中任一月份由投标人单位为其缴纳的社会保险凭据复印件【若投标人为投标截止时间的当月成立的公司可提供依法缴纳社会保障资金</w:t>
            </w:r>
            <w:r>
              <w:rPr>
                <w:rFonts w:hint="eastAsia" w:ascii="宋体" w:hAnsi="宋体" w:cs="宋体"/>
                <w:b/>
                <w:bCs/>
                <w:color w:val="auto"/>
                <w:kern w:val="0"/>
                <w:sz w:val="24"/>
                <w:highlight w:val="none"/>
                <w:u w:val="single"/>
              </w:rPr>
              <w:t>承诺书（格式自拟）</w:t>
            </w:r>
            <w:r>
              <w:rPr>
                <w:rFonts w:hint="eastAsia" w:ascii="宋体" w:hAnsi="宋体" w:cs="宋体"/>
                <w:color w:val="auto"/>
                <w:kern w:val="0"/>
                <w:sz w:val="24"/>
                <w:highlight w:val="none"/>
              </w:rPr>
              <w:t>】。所有材料缺一不可，否则不得分。</w:t>
            </w:r>
          </w:p>
          <w:p w14:paraId="333BF432">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b w:val="0"/>
                <w:bCs w:val="0"/>
                <w:strike w:val="0"/>
                <w:dstrike w:val="0"/>
                <w:color w:val="auto"/>
                <w:kern w:val="0"/>
                <w:sz w:val="24"/>
                <w:highlight w:val="none"/>
                <w:u w:val="none"/>
                <w:lang w:eastAsia="zh-CN"/>
              </w:rPr>
              <w:t>注：该</w:t>
            </w:r>
            <w:r>
              <w:rPr>
                <w:rFonts w:hint="eastAsia" w:asciiTheme="minorEastAsia" w:hAnsiTheme="minorEastAsia" w:eastAsiaTheme="minorEastAsia" w:cstheme="minorEastAsia"/>
                <w:b w:val="0"/>
                <w:bCs w:val="0"/>
                <w:color w:val="auto"/>
                <w:kern w:val="0"/>
                <w:sz w:val="24"/>
                <w:highlight w:val="none"/>
                <w:u w:val="none"/>
                <w:lang w:val="en-US" w:eastAsia="zh-CN"/>
              </w:rPr>
              <w:t>评分项的人员不得与别的评分项中人员重复，否则本项不得分。</w:t>
            </w:r>
          </w:p>
        </w:tc>
      </w:tr>
      <w:tr w14:paraId="198E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161D7EDD">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440" w:type="pct"/>
            <w:vMerge w:val="continue"/>
            <w:noWrap/>
            <w:vAlign w:val="center"/>
          </w:tcPr>
          <w:p w14:paraId="522B79F5">
            <w:pPr>
              <w:widowControl/>
              <w:spacing w:line="240" w:lineRule="auto"/>
              <w:jc w:val="center"/>
              <w:outlineLvl w:val="9"/>
              <w:rPr>
                <w:rFonts w:hint="eastAsia" w:ascii="宋体" w:hAnsi="宋体" w:eastAsia="宋体" w:cs="宋体"/>
                <w:color w:val="auto"/>
                <w:kern w:val="0"/>
                <w:sz w:val="24"/>
                <w:szCs w:val="24"/>
                <w:lang w:val="en-US" w:eastAsia="zh-CN" w:bidi="ar"/>
              </w:rPr>
            </w:pPr>
          </w:p>
        </w:tc>
        <w:tc>
          <w:tcPr>
            <w:tcW w:w="313" w:type="pct"/>
            <w:noWrap/>
            <w:vAlign w:val="center"/>
          </w:tcPr>
          <w:p w14:paraId="43C71C2D">
            <w:pPr>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1</w:t>
            </w:r>
          </w:p>
        </w:tc>
        <w:tc>
          <w:tcPr>
            <w:tcW w:w="3928" w:type="pct"/>
            <w:noWrap/>
            <w:vAlign w:val="center"/>
          </w:tcPr>
          <w:p w14:paraId="6180F3CF">
            <w:pPr>
              <w:pStyle w:val="42"/>
              <w:keepNext w:val="0"/>
              <w:keepLines w:val="0"/>
              <w:pageBreakBefore w:val="0"/>
              <w:kinsoku/>
              <w:wordWrap/>
              <w:topLinePunct w:val="0"/>
              <w:bidi w:val="0"/>
              <w:snapToGrid/>
              <w:spacing w:line="240" w:lineRule="auto"/>
              <w:jc w:val="both"/>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6.5为保证项目的顺利实施，便于因不可抗力因素引起的需更换面点师的情况，投标人拟派面点师在满足招标文件的基础上，多配备一名具有面点师加1分，满分1分。</w:t>
            </w:r>
          </w:p>
          <w:p w14:paraId="0D30A233">
            <w:pPr>
              <w:pStyle w:val="42"/>
              <w:keepNext w:val="0"/>
              <w:keepLines w:val="0"/>
              <w:pageBreakBefore w:val="0"/>
              <w:kinsoku/>
              <w:wordWrap/>
              <w:topLinePunct w:val="0"/>
              <w:bidi w:val="0"/>
              <w:snapToGrid/>
              <w:spacing w:line="240" w:lineRule="auto"/>
              <w:jc w:val="both"/>
              <w:rPr>
                <w:rFonts w:hint="eastAsia" w:ascii="宋体" w:hAnsi="宋体" w:eastAsia="宋体" w:cs="宋体"/>
                <w:color w:val="auto"/>
                <w:spacing w:val="0"/>
                <w:position w:val="0"/>
                <w:sz w:val="24"/>
                <w:highlight w:val="none"/>
                <w:shd w:val="clear" w:color="auto" w:fill="auto"/>
                <w:lang w:eastAsia="zh-CN"/>
              </w:rPr>
            </w:pPr>
            <w:r>
              <w:rPr>
                <w:rFonts w:hint="eastAsia" w:asciiTheme="minorEastAsia" w:hAnsiTheme="minorEastAsia" w:eastAsiaTheme="minorEastAsia" w:cstheme="minorEastAsia"/>
                <w:color w:val="auto"/>
                <w:kern w:val="0"/>
                <w:sz w:val="24"/>
                <w:highlight w:val="none"/>
              </w:rPr>
              <w:t>须提供有效的</w:t>
            </w:r>
            <w:r>
              <w:rPr>
                <w:rFonts w:hint="eastAsia" w:asciiTheme="minorEastAsia" w:hAnsiTheme="minorEastAsia" w:eastAsiaTheme="minorEastAsia" w:cstheme="minorEastAsia"/>
                <w:color w:val="auto"/>
                <w:kern w:val="0"/>
                <w:sz w:val="24"/>
                <w:highlight w:val="none"/>
                <w:lang w:val="en-US" w:eastAsia="zh-CN"/>
              </w:rPr>
              <w:t>身份证（正面、反面）复印件、</w:t>
            </w:r>
            <w:r>
              <w:rPr>
                <w:rFonts w:hint="eastAsia" w:ascii="宋体" w:hAnsi="宋体" w:cs="宋体"/>
                <w:color w:val="auto"/>
                <w:kern w:val="0"/>
                <w:sz w:val="24"/>
                <w:highlight w:val="none"/>
              </w:rPr>
              <w:t>提供</w:t>
            </w:r>
            <w:r>
              <w:rPr>
                <w:rFonts w:hint="eastAsia" w:asciiTheme="minorEastAsia" w:hAnsiTheme="minorEastAsia" w:eastAsiaTheme="minorEastAsia" w:cstheme="minorEastAsia"/>
                <w:color w:val="auto"/>
                <w:sz w:val="24"/>
                <w:highlight w:val="none"/>
                <w:lang w:val="en-US" w:eastAsia="zh-CN"/>
              </w:rPr>
              <w:t>面点师</w:t>
            </w:r>
            <w:r>
              <w:rPr>
                <w:rFonts w:hint="eastAsia" w:asciiTheme="minorEastAsia" w:hAnsiTheme="minorEastAsia" w:cstheme="minorEastAsia"/>
                <w:color w:val="auto"/>
                <w:kern w:val="0"/>
                <w:sz w:val="24"/>
                <w:highlight w:val="none"/>
                <w:lang w:val="en-US" w:eastAsia="zh-CN" w:bidi="ar-SA"/>
              </w:rPr>
              <w:t>职业证书</w:t>
            </w:r>
            <w:r>
              <w:rPr>
                <w:rFonts w:hint="eastAsia" w:ascii="宋体" w:hAnsi="宋体" w:cs="宋体"/>
                <w:color w:val="auto"/>
                <w:kern w:val="0"/>
                <w:sz w:val="24"/>
                <w:highlight w:val="none"/>
              </w:rPr>
              <w:t>及投标截止时间前六个月中任一月份由投标人单位为其缴纳的社会保险凭据复印件【若投标人为投标截止时间的当月成立的公司可提供依法缴纳社会保障资金</w:t>
            </w:r>
            <w:r>
              <w:rPr>
                <w:rFonts w:hint="eastAsia" w:ascii="宋体" w:hAnsi="宋体" w:cs="宋体"/>
                <w:b/>
                <w:bCs/>
                <w:color w:val="auto"/>
                <w:kern w:val="0"/>
                <w:sz w:val="24"/>
                <w:highlight w:val="none"/>
                <w:u w:val="single"/>
              </w:rPr>
              <w:t>承诺书（格式自拟）</w:t>
            </w:r>
            <w:r>
              <w:rPr>
                <w:rFonts w:hint="eastAsia" w:ascii="宋体" w:hAnsi="宋体" w:cs="宋体"/>
                <w:color w:val="auto"/>
                <w:kern w:val="0"/>
                <w:sz w:val="24"/>
                <w:highlight w:val="none"/>
              </w:rPr>
              <w:t>】。所有材料缺一不可，否则不得分。</w:t>
            </w:r>
          </w:p>
          <w:p w14:paraId="33DC95F7">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b w:val="0"/>
                <w:bCs w:val="0"/>
                <w:strike w:val="0"/>
                <w:dstrike w:val="0"/>
                <w:color w:val="auto"/>
                <w:kern w:val="0"/>
                <w:sz w:val="24"/>
                <w:highlight w:val="none"/>
                <w:u w:val="none"/>
                <w:lang w:eastAsia="zh-CN"/>
              </w:rPr>
              <w:t>注：该</w:t>
            </w:r>
            <w:r>
              <w:rPr>
                <w:rFonts w:hint="eastAsia" w:asciiTheme="minorEastAsia" w:hAnsiTheme="minorEastAsia" w:eastAsiaTheme="minorEastAsia" w:cstheme="minorEastAsia"/>
                <w:b w:val="0"/>
                <w:bCs w:val="0"/>
                <w:color w:val="auto"/>
                <w:kern w:val="0"/>
                <w:sz w:val="24"/>
                <w:highlight w:val="none"/>
                <w:u w:val="none"/>
                <w:lang w:val="en-US" w:eastAsia="zh-CN"/>
              </w:rPr>
              <w:t>评分项的人员不得与别的评分项中人员重复，否则本项不得分。</w:t>
            </w:r>
          </w:p>
        </w:tc>
      </w:tr>
      <w:tr w14:paraId="352E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noWrap/>
            <w:vAlign w:val="center"/>
          </w:tcPr>
          <w:p w14:paraId="493C9378">
            <w:pPr>
              <w:widowControl/>
              <w:spacing w:line="240" w:lineRule="auto"/>
              <w:jc w:val="center"/>
              <w:outlineLvl w:val="9"/>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A7</w:t>
            </w:r>
          </w:p>
        </w:tc>
        <w:tc>
          <w:tcPr>
            <w:tcW w:w="440" w:type="pct"/>
            <w:noWrap/>
            <w:vAlign w:val="center"/>
          </w:tcPr>
          <w:p w14:paraId="1E5108C2">
            <w:pPr>
              <w:widowControl/>
              <w:spacing w:line="240" w:lineRule="auto"/>
              <w:jc w:val="center"/>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0"/>
                <w:position w:val="0"/>
                <w:sz w:val="24"/>
                <w:highlight w:val="none"/>
                <w:shd w:val="clear" w:color="auto" w:fill="auto"/>
              </w:rPr>
              <w:t>服务团队配备及岗位设置情况</w:t>
            </w:r>
          </w:p>
        </w:tc>
        <w:tc>
          <w:tcPr>
            <w:tcW w:w="313" w:type="pct"/>
            <w:noWrap/>
            <w:vAlign w:val="center"/>
          </w:tcPr>
          <w:p w14:paraId="167E2A98">
            <w:pPr>
              <w:widowControl/>
              <w:spacing w:line="240" w:lineRule="auto"/>
              <w:jc w:val="center"/>
              <w:outlineLvl w:val="9"/>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3</w:t>
            </w:r>
          </w:p>
        </w:tc>
        <w:tc>
          <w:tcPr>
            <w:tcW w:w="3928" w:type="pct"/>
            <w:noWrap/>
            <w:vAlign w:val="top"/>
          </w:tcPr>
          <w:p w14:paraId="0AF43B37">
            <w:pPr>
              <w:widowControl/>
              <w:spacing w:line="240" w:lineRule="auto"/>
              <w:jc w:val="left"/>
              <w:outlineLvl w:val="9"/>
              <w:rPr>
                <w:rFonts w:hint="eastAsia" w:ascii="宋体" w:hAnsi="宋体" w:eastAsia="宋体" w:cs="宋体"/>
                <w:color w:val="auto"/>
                <w:kern w:val="0"/>
                <w:sz w:val="24"/>
                <w:szCs w:val="24"/>
                <w:lang w:val="en-US" w:eastAsia="zh-CN" w:bidi="ar"/>
              </w:rPr>
            </w:pPr>
            <w:r>
              <w:rPr>
                <w:rFonts w:hint="eastAsia" w:ascii="宋体" w:hAnsi="宋体" w:eastAsia="宋体" w:cs="宋体"/>
                <w:color w:val="auto"/>
                <w:spacing w:val="0"/>
                <w:position w:val="0"/>
                <w:sz w:val="24"/>
                <w:highlight w:val="none"/>
                <w:shd w:val="clear" w:color="auto" w:fill="auto"/>
                <w:lang w:eastAsia="zh-CN"/>
              </w:rPr>
              <w:t>根据供应商</w:t>
            </w:r>
            <w:r>
              <w:rPr>
                <w:rFonts w:hint="eastAsia" w:ascii="宋体" w:hAnsi="宋体" w:eastAsia="宋体" w:cs="宋体"/>
                <w:color w:val="auto"/>
                <w:spacing w:val="0"/>
                <w:position w:val="0"/>
                <w:sz w:val="24"/>
                <w:highlight w:val="none"/>
                <w:shd w:val="clear" w:color="auto" w:fill="auto"/>
              </w:rPr>
              <w:t>针对本</w:t>
            </w:r>
            <w:r>
              <w:rPr>
                <w:rFonts w:hint="eastAsia" w:ascii="宋体" w:hAnsi="宋体" w:eastAsia="宋体" w:cs="宋体"/>
                <w:color w:val="auto"/>
                <w:sz w:val="24"/>
                <w:highlight w:val="none"/>
                <w:lang w:eastAsia="zh-CN"/>
              </w:rPr>
              <w:t>合同包</w:t>
            </w:r>
            <w:r>
              <w:rPr>
                <w:rFonts w:hint="eastAsia" w:ascii="宋体" w:hAnsi="宋体" w:eastAsia="宋体" w:cs="宋体"/>
                <w:color w:val="auto"/>
                <w:spacing w:val="0"/>
                <w:position w:val="0"/>
                <w:sz w:val="24"/>
                <w:highlight w:val="none"/>
                <w:shd w:val="clear" w:color="auto" w:fill="auto"/>
                <w:lang w:eastAsia="zh-CN"/>
              </w:rPr>
              <w:t>拟配的食堂服务团队方案（至少包含：①餐厅管理人员</w:t>
            </w:r>
            <w:r>
              <w:rPr>
                <w:rFonts w:hint="eastAsia" w:ascii="宋体" w:hAnsi="宋体" w:eastAsia="宋体" w:cs="宋体"/>
                <w:color w:val="auto"/>
                <w:spacing w:val="0"/>
                <w:position w:val="0"/>
                <w:sz w:val="24"/>
                <w:highlight w:val="none"/>
                <w:shd w:val="clear" w:color="auto" w:fill="auto"/>
              </w:rPr>
              <w:t>、</w:t>
            </w:r>
            <w:r>
              <w:rPr>
                <w:rFonts w:hint="eastAsia" w:ascii="宋体" w:hAnsi="宋体" w:eastAsia="宋体" w:cs="宋体"/>
                <w:color w:val="auto"/>
                <w:spacing w:val="0"/>
                <w:position w:val="0"/>
                <w:sz w:val="24"/>
                <w:highlight w:val="none"/>
                <w:shd w:val="clear" w:color="auto" w:fill="auto"/>
                <w:lang w:eastAsia="zh-CN"/>
              </w:rPr>
              <w:t>②餐厅厨师</w:t>
            </w:r>
            <w:r>
              <w:rPr>
                <w:rFonts w:hint="eastAsia" w:ascii="宋体" w:hAnsi="宋体" w:eastAsia="宋体" w:cs="宋体"/>
                <w:color w:val="auto"/>
                <w:spacing w:val="0"/>
                <w:position w:val="0"/>
                <w:sz w:val="24"/>
                <w:highlight w:val="none"/>
                <w:shd w:val="clear" w:color="auto" w:fill="auto"/>
              </w:rPr>
              <w:t>的配备计划</w:t>
            </w:r>
            <w:r>
              <w:rPr>
                <w:rFonts w:hint="eastAsia" w:ascii="宋体" w:hAnsi="宋体" w:eastAsia="宋体" w:cs="宋体"/>
                <w:color w:val="auto"/>
                <w:spacing w:val="0"/>
                <w:position w:val="0"/>
                <w:sz w:val="24"/>
                <w:highlight w:val="none"/>
                <w:shd w:val="clear" w:color="auto" w:fill="auto"/>
                <w:lang w:eastAsia="zh-CN"/>
              </w:rPr>
              <w:t>、③</w:t>
            </w:r>
            <w:r>
              <w:rPr>
                <w:rFonts w:hint="eastAsia" w:ascii="宋体" w:hAnsi="宋体" w:eastAsia="宋体" w:cs="宋体"/>
                <w:color w:val="auto"/>
                <w:spacing w:val="0"/>
                <w:position w:val="0"/>
                <w:sz w:val="24"/>
                <w:highlight w:val="none"/>
                <w:shd w:val="clear" w:color="auto" w:fill="auto"/>
              </w:rPr>
              <w:t>人员</w:t>
            </w:r>
            <w:r>
              <w:rPr>
                <w:rFonts w:hint="eastAsia" w:ascii="宋体" w:hAnsi="宋体" w:eastAsia="宋体" w:cs="宋体"/>
                <w:color w:val="auto"/>
                <w:spacing w:val="0"/>
                <w:position w:val="0"/>
                <w:sz w:val="24"/>
                <w:highlight w:val="none"/>
                <w:shd w:val="clear" w:color="auto" w:fill="auto"/>
                <w:lang w:eastAsia="zh-CN"/>
              </w:rPr>
              <w:t>岗位</w:t>
            </w:r>
            <w:r>
              <w:rPr>
                <w:rFonts w:hint="eastAsia" w:ascii="宋体" w:hAnsi="宋体" w:eastAsia="宋体" w:cs="宋体"/>
                <w:color w:val="auto"/>
                <w:spacing w:val="0"/>
                <w:position w:val="0"/>
                <w:sz w:val="24"/>
                <w:highlight w:val="none"/>
                <w:shd w:val="clear" w:color="auto" w:fill="auto"/>
              </w:rPr>
              <w:t>分工</w:t>
            </w:r>
            <w:r>
              <w:rPr>
                <w:rFonts w:hint="eastAsia" w:ascii="宋体" w:hAnsi="宋体" w:eastAsia="宋体" w:cs="宋体"/>
                <w:color w:val="auto"/>
                <w:spacing w:val="0"/>
                <w:position w:val="0"/>
                <w:sz w:val="24"/>
                <w:highlight w:val="none"/>
                <w:shd w:val="clear" w:color="auto" w:fill="auto"/>
                <w:lang w:eastAsia="zh-CN"/>
              </w:rPr>
              <w:t>）</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3C5B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 w:type="pct"/>
            <w:noWrap/>
            <w:vAlign w:val="center"/>
          </w:tcPr>
          <w:p w14:paraId="368C44EB">
            <w:pPr>
              <w:widowControl/>
              <w:spacing w:line="240" w:lineRule="auto"/>
              <w:jc w:val="center"/>
              <w:outlineLvl w:val="9"/>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A8</w:t>
            </w:r>
          </w:p>
        </w:tc>
        <w:tc>
          <w:tcPr>
            <w:tcW w:w="440" w:type="pct"/>
            <w:noWrap/>
            <w:vAlign w:val="center"/>
          </w:tcPr>
          <w:p w14:paraId="062E636E">
            <w:pPr>
              <w:keepNext w:val="0"/>
              <w:keepLines w:val="0"/>
              <w:pageBreakBefore w:val="0"/>
              <w:widowControl/>
              <w:suppressLineNumbers w:val="0"/>
              <w:kinsoku/>
              <w:wordWrap/>
              <w:topLinePunct w:val="0"/>
              <w:bidi w:val="0"/>
              <w:snapToGrid/>
              <w:spacing w:line="240" w:lineRule="auto"/>
              <w:jc w:val="both"/>
              <w:rPr>
                <w:rFonts w:hint="eastAsia" w:ascii="宋体" w:hAnsi="宋体" w:eastAsia="宋体" w:cs="宋体"/>
                <w:color w:val="auto"/>
                <w:kern w:val="0"/>
                <w:sz w:val="24"/>
                <w:szCs w:val="24"/>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设备设施维护方案</w:t>
            </w:r>
          </w:p>
        </w:tc>
        <w:tc>
          <w:tcPr>
            <w:tcW w:w="313" w:type="pct"/>
            <w:noWrap/>
            <w:vAlign w:val="center"/>
          </w:tcPr>
          <w:p w14:paraId="306F14DD">
            <w:pPr>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3928" w:type="pct"/>
            <w:noWrap/>
            <w:vAlign w:val="center"/>
          </w:tcPr>
          <w:p w14:paraId="535FD91E">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rPr>
              <w:t>根据投标人针对本项目提供的</w:t>
            </w:r>
            <w:r>
              <w:rPr>
                <w:rFonts w:hint="eastAsia" w:asciiTheme="minorEastAsia" w:hAnsiTheme="minorEastAsia" w:eastAsiaTheme="minorEastAsia" w:cstheme="minorEastAsia"/>
                <w:color w:val="auto"/>
                <w:kern w:val="0"/>
                <w:sz w:val="24"/>
                <w:highlight w:val="none"/>
                <w:lang w:val="en-US" w:eastAsia="zh-CN"/>
              </w:rPr>
              <w:t>设备设施维护方案</w:t>
            </w:r>
            <w:r>
              <w:rPr>
                <w:rFonts w:hint="eastAsia" w:asciiTheme="minorEastAsia" w:hAnsiTheme="minorEastAsia" w:eastAsiaTheme="minorEastAsia" w:cstheme="minorEastAsia"/>
                <w:color w:val="auto"/>
                <w:kern w:val="0"/>
                <w:sz w:val="24"/>
                <w:highlight w:val="none"/>
              </w:rPr>
              <w:t>（包括但不限于</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①对</w:t>
            </w:r>
            <w:r>
              <w:rPr>
                <w:rFonts w:hint="eastAsia" w:asciiTheme="minorEastAsia" w:hAnsiTheme="minorEastAsia" w:eastAsiaTheme="minorEastAsia" w:cstheme="minorEastAsia"/>
                <w:color w:val="auto"/>
                <w:kern w:val="0"/>
                <w:sz w:val="24"/>
                <w:highlight w:val="none"/>
                <w:lang w:val="en-US" w:eastAsia="zh-CN"/>
              </w:rPr>
              <w:t>招标</w:t>
            </w:r>
            <w:r>
              <w:rPr>
                <w:rFonts w:hint="eastAsia" w:asciiTheme="minorEastAsia" w:hAnsiTheme="minorEastAsia" w:eastAsiaTheme="minorEastAsia" w:cstheme="minorEastAsia"/>
                <w:color w:val="auto"/>
                <w:kern w:val="0"/>
                <w:sz w:val="24"/>
                <w:highlight w:val="none"/>
              </w:rPr>
              <w:t>人现有设备和厨具等资产保护的措施</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②设备设施维护、保养、修复、 保全计划）</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6932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 w:type="pct"/>
            <w:noWrap/>
            <w:vAlign w:val="center"/>
          </w:tcPr>
          <w:p w14:paraId="4E7D6C4E">
            <w:pPr>
              <w:widowControl/>
              <w:spacing w:line="240" w:lineRule="auto"/>
              <w:jc w:val="center"/>
              <w:outlineLvl w:val="9"/>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A9</w:t>
            </w:r>
          </w:p>
        </w:tc>
        <w:tc>
          <w:tcPr>
            <w:tcW w:w="440" w:type="pct"/>
            <w:noWrap/>
            <w:vAlign w:val="center"/>
          </w:tcPr>
          <w:p w14:paraId="549F8AB8">
            <w:pPr>
              <w:keepNext w:val="0"/>
              <w:keepLines w:val="0"/>
              <w:pageBreakBefore w:val="0"/>
              <w:widowControl/>
              <w:suppressLineNumbers w:val="0"/>
              <w:kinsoku/>
              <w:wordWrap/>
              <w:topLinePunct w:val="0"/>
              <w:bidi w:val="0"/>
              <w:snapToGrid/>
              <w:spacing w:line="240" w:lineRule="auto"/>
              <w:jc w:val="both"/>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人员培训及档案管理</w:t>
            </w:r>
          </w:p>
        </w:tc>
        <w:tc>
          <w:tcPr>
            <w:tcW w:w="313" w:type="pct"/>
            <w:noWrap/>
            <w:vAlign w:val="center"/>
          </w:tcPr>
          <w:p w14:paraId="152DED20">
            <w:pPr>
              <w:keepNext w:val="0"/>
              <w:keepLines w:val="0"/>
              <w:pageBreakBefore w:val="0"/>
              <w:kinsoku/>
              <w:wordWrap/>
              <w:topLinePunct w:val="0"/>
              <w:bidi w:val="0"/>
              <w:snapToGrid/>
              <w:spacing w:line="24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3928" w:type="pct"/>
            <w:noWrap/>
            <w:vAlign w:val="center"/>
          </w:tcPr>
          <w:p w14:paraId="0B223410">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根据各投标人针对本项目提供的食堂工作人员培训计划（定期专业技能、食品安全教育、文明服务意识、仪容仪表等专门培训培训记录表以及培训现场实景照片及档案的建立与管理完备性）</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3A99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 w:type="pct"/>
            <w:noWrap/>
            <w:vAlign w:val="center"/>
          </w:tcPr>
          <w:p w14:paraId="7DED8DF8">
            <w:pPr>
              <w:widowControl/>
              <w:spacing w:line="240" w:lineRule="auto"/>
              <w:jc w:val="center"/>
              <w:outlineLvl w:val="9"/>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A10</w:t>
            </w:r>
          </w:p>
          <w:p w14:paraId="22C1E19A">
            <w:pPr>
              <w:widowControl/>
              <w:spacing w:line="240" w:lineRule="auto"/>
              <w:jc w:val="center"/>
              <w:outlineLvl w:val="9"/>
              <w:rPr>
                <w:rFonts w:hint="eastAsia" w:ascii="宋体" w:hAnsi="宋体" w:cs="宋体"/>
                <w:color w:val="auto"/>
                <w:kern w:val="0"/>
                <w:sz w:val="24"/>
                <w:szCs w:val="24"/>
                <w:lang w:val="en-US" w:eastAsia="zh-CN" w:bidi="ar"/>
              </w:rPr>
            </w:pPr>
          </w:p>
        </w:tc>
        <w:tc>
          <w:tcPr>
            <w:tcW w:w="440" w:type="pct"/>
            <w:noWrap/>
            <w:vAlign w:val="center"/>
          </w:tcPr>
          <w:p w14:paraId="6945493A">
            <w:pPr>
              <w:keepNext w:val="0"/>
              <w:keepLines w:val="0"/>
              <w:pageBreakBefore w:val="0"/>
              <w:kinsoku/>
              <w:wordWrap/>
              <w:topLinePunct w:val="0"/>
              <w:bidi w:val="0"/>
              <w:adjustRightInd w:val="0"/>
              <w:snapToGrid w:val="0"/>
              <w:spacing w:before="0" w:line="240" w:lineRule="auto"/>
              <w:ind w:left="0" w:leftChars="0" w:right="0" w:rightChars="0" w:firstLine="0" w:firstLineChars="0"/>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宋体" w:hAnsi="宋体" w:eastAsia="宋体" w:cs="宋体"/>
                <w:color w:val="auto"/>
                <w:sz w:val="24"/>
                <w:highlight w:val="none"/>
              </w:rPr>
              <w:t>垃圾分类服务方案</w:t>
            </w:r>
          </w:p>
        </w:tc>
        <w:tc>
          <w:tcPr>
            <w:tcW w:w="313" w:type="pct"/>
            <w:noWrap/>
            <w:vAlign w:val="center"/>
          </w:tcPr>
          <w:p w14:paraId="730C3C23">
            <w:pPr>
              <w:keepNext w:val="0"/>
              <w:keepLines w:val="0"/>
              <w:pageBreakBefore w:val="0"/>
              <w:kinsoku/>
              <w:wordWrap/>
              <w:topLinePunct w:val="0"/>
              <w:bidi w:val="0"/>
              <w:adjustRightInd w:val="0"/>
              <w:snapToGrid w:val="0"/>
              <w:spacing w:before="0" w:line="240" w:lineRule="auto"/>
              <w:ind w:left="0" w:leftChars="0" w:right="0" w:rightChars="0"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auto"/>
                <w:spacing w:val="0"/>
                <w:position w:val="0"/>
                <w:sz w:val="24"/>
                <w:highlight w:val="none"/>
                <w:shd w:val="clear" w:color="auto" w:fill="FFFFFF"/>
                <w:lang w:val="en-US" w:eastAsia="zh-CN"/>
              </w:rPr>
              <w:t>3</w:t>
            </w:r>
          </w:p>
        </w:tc>
        <w:tc>
          <w:tcPr>
            <w:tcW w:w="3928" w:type="pct"/>
            <w:noWrap/>
            <w:vAlign w:val="center"/>
          </w:tcPr>
          <w:p w14:paraId="24652D46">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lang w:val="en-US" w:eastAsia="zh-CN"/>
              </w:rPr>
            </w:pPr>
            <w:r>
              <w:rPr>
                <w:rFonts w:hint="eastAsia" w:ascii="宋体" w:hAnsi="宋体" w:eastAsia="宋体" w:cs="宋体"/>
                <w:color w:val="auto"/>
                <w:spacing w:val="0"/>
                <w:position w:val="0"/>
                <w:sz w:val="24"/>
                <w:highlight w:val="none"/>
                <w:shd w:val="clear" w:color="auto" w:fill="auto"/>
                <w:lang w:eastAsia="zh-CN"/>
              </w:rPr>
              <w:t>根据供应商针对本</w:t>
            </w:r>
            <w:r>
              <w:rPr>
                <w:rFonts w:hint="eastAsia" w:ascii="宋体" w:hAnsi="宋体" w:eastAsia="宋体" w:cs="宋体"/>
                <w:color w:val="auto"/>
                <w:sz w:val="24"/>
                <w:highlight w:val="none"/>
                <w:lang w:eastAsia="zh-CN"/>
              </w:rPr>
              <w:t>合同包</w:t>
            </w:r>
            <w:r>
              <w:rPr>
                <w:rFonts w:hint="eastAsia" w:ascii="宋体" w:hAnsi="宋体" w:eastAsia="宋体" w:cs="宋体"/>
                <w:color w:val="auto"/>
                <w:spacing w:val="0"/>
                <w:position w:val="0"/>
                <w:sz w:val="24"/>
                <w:highlight w:val="none"/>
                <w:shd w:val="clear" w:color="auto" w:fill="auto"/>
                <w:lang w:eastAsia="zh-CN"/>
              </w:rPr>
              <w:t>提供的垃圾分类服务方案（至少包含：①垃圾分类和清运内容、②工作目标、③分类流程内容）</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1512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 w:type="pct"/>
            <w:noWrap/>
            <w:vAlign w:val="center"/>
          </w:tcPr>
          <w:p w14:paraId="0564F9C0">
            <w:pPr>
              <w:widowControl/>
              <w:spacing w:line="240" w:lineRule="auto"/>
              <w:jc w:val="center"/>
              <w:outlineLvl w:val="9"/>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A11</w:t>
            </w:r>
          </w:p>
        </w:tc>
        <w:tc>
          <w:tcPr>
            <w:tcW w:w="440" w:type="pct"/>
            <w:noWrap/>
            <w:vAlign w:val="center"/>
          </w:tcPr>
          <w:p w14:paraId="0517D11F">
            <w:pPr>
              <w:pStyle w:val="4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highlight w:val="none"/>
                <w:lang w:val="en-US" w:eastAsia="zh-CN" w:bidi="ar-SA"/>
              </w:rPr>
            </w:pPr>
            <w:r>
              <w:rPr>
                <w:rFonts w:hint="eastAsia" w:ascii="宋体" w:hAnsi="宋体" w:eastAsia="宋体" w:cs="宋体"/>
                <w:color w:val="auto"/>
                <w:sz w:val="24"/>
                <w:highlight w:val="none"/>
              </w:rPr>
              <w:t>档案</w:t>
            </w:r>
            <w:r>
              <w:rPr>
                <w:rFonts w:hint="eastAsia" w:ascii="宋体" w:hAnsi="宋体" w:eastAsia="宋体" w:cs="宋体"/>
                <w:color w:val="auto"/>
                <w:sz w:val="24"/>
                <w:highlight w:val="none"/>
                <w:lang w:eastAsia="zh-CN"/>
              </w:rPr>
              <w:t>管理</w:t>
            </w:r>
            <w:r>
              <w:rPr>
                <w:rFonts w:hint="eastAsia" w:ascii="宋体" w:hAnsi="宋体" w:eastAsia="宋体" w:cs="宋体"/>
                <w:color w:val="auto"/>
                <w:sz w:val="24"/>
                <w:highlight w:val="none"/>
              </w:rPr>
              <w:t>方案</w:t>
            </w:r>
          </w:p>
        </w:tc>
        <w:tc>
          <w:tcPr>
            <w:tcW w:w="313" w:type="pct"/>
            <w:noWrap/>
            <w:vAlign w:val="center"/>
          </w:tcPr>
          <w:p w14:paraId="0A161917">
            <w:pPr>
              <w:pStyle w:val="4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0"/>
                <w:sz w:val="24"/>
                <w:highlight w:val="none"/>
                <w:lang w:val="en-US" w:eastAsia="zh-CN" w:bidi="ar-SA"/>
              </w:rPr>
            </w:pPr>
            <w:r>
              <w:rPr>
                <w:rFonts w:hint="eastAsia" w:asciiTheme="minorEastAsia" w:hAnsiTheme="minorEastAsia" w:cstheme="minorEastAsia"/>
                <w:color w:val="auto"/>
                <w:kern w:val="0"/>
                <w:sz w:val="24"/>
                <w:highlight w:val="none"/>
                <w:lang w:val="en-US" w:eastAsia="zh-CN" w:bidi="ar-SA"/>
              </w:rPr>
              <w:t>3</w:t>
            </w:r>
          </w:p>
        </w:tc>
        <w:tc>
          <w:tcPr>
            <w:tcW w:w="3928" w:type="pct"/>
            <w:noWrap/>
            <w:vAlign w:val="center"/>
          </w:tcPr>
          <w:p w14:paraId="293A9154">
            <w:pPr>
              <w:pStyle w:val="4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4"/>
                <w:highlight w:val="none"/>
                <w:lang w:val="en-US" w:eastAsia="zh-CN" w:bidi="ar-SA"/>
              </w:rPr>
            </w:pPr>
            <w:r>
              <w:rPr>
                <w:rFonts w:hint="eastAsia" w:ascii="宋体" w:hAnsi="宋体" w:eastAsia="宋体" w:cs="宋体"/>
                <w:bCs/>
                <w:color w:val="auto"/>
                <w:sz w:val="24"/>
                <w:szCs w:val="24"/>
                <w:highlight w:val="none"/>
              </w:rPr>
              <w:t>根据</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针对本</w:t>
            </w:r>
            <w:r>
              <w:rPr>
                <w:rFonts w:hint="eastAsia" w:ascii="宋体" w:hAnsi="宋体" w:eastAsia="宋体" w:cs="宋体"/>
                <w:color w:val="auto"/>
                <w:sz w:val="24"/>
                <w:highlight w:val="none"/>
                <w:lang w:eastAsia="zh-CN"/>
              </w:rPr>
              <w:t>合同包</w:t>
            </w:r>
            <w:r>
              <w:rPr>
                <w:rFonts w:hint="eastAsia" w:ascii="宋体" w:hAnsi="宋体" w:eastAsia="宋体" w:cs="宋体"/>
                <w:bCs/>
                <w:color w:val="auto"/>
                <w:sz w:val="24"/>
                <w:szCs w:val="24"/>
                <w:highlight w:val="none"/>
              </w:rPr>
              <w:t>提供的档案管理方案</w:t>
            </w:r>
            <w:r>
              <w:rPr>
                <w:rFonts w:hint="eastAsia" w:ascii="宋体" w:hAnsi="宋体" w:eastAsia="宋体" w:cs="宋体"/>
                <w:bCs/>
                <w:color w:val="auto"/>
                <w:sz w:val="24"/>
                <w:szCs w:val="24"/>
                <w:highlight w:val="none"/>
                <w:lang w:eastAsia="zh-CN"/>
              </w:rPr>
              <w:t>（至少包含：①档案管理范围、②档案管理职责、③档案管理流程）</w:t>
            </w:r>
            <w:r>
              <w:rPr>
                <w:rFonts w:hint="eastAsia" w:ascii="宋体" w:hAnsi="宋体" w:eastAsia="宋体" w:cs="宋体"/>
                <w:color w:val="auto"/>
                <w:sz w:val="24"/>
                <w:highlight w:val="none"/>
              </w:rPr>
              <w:t>进行</w:t>
            </w: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3</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2.85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2.7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7DF9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 w:type="pct"/>
            <w:noWrap/>
            <w:vAlign w:val="center"/>
          </w:tcPr>
          <w:p w14:paraId="133F2A6B">
            <w:pPr>
              <w:widowControl/>
              <w:spacing w:line="240" w:lineRule="auto"/>
              <w:jc w:val="center"/>
              <w:outlineLvl w:val="9"/>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A12</w:t>
            </w:r>
          </w:p>
        </w:tc>
        <w:tc>
          <w:tcPr>
            <w:tcW w:w="440" w:type="pct"/>
            <w:noWrap/>
            <w:vAlign w:val="center"/>
          </w:tcPr>
          <w:p w14:paraId="4C646FA3">
            <w:pPr>
              <w:pStyle w:val="4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highlight w:val="none"/>
                <w:lang w:val="en-US" w:eastAsia="zh-CN" w:bidi="ar-SA"/>
              </w:rPr>
            </w:pPr>
            <w:r>
              <w:rPr>
                <w:rFonts w:hint="eastAsia" w:ascii="宋体" w:hAnsi="宋体" w:eastAsia="宋体" w:cs="宋体"/>
                <w:color w:val="auto"/>
                <w:sz w:val="24"/>
                <w:highlight w:val="none"/>
                <w:lang w:eastAsia="zh-CN"/>
              </w:rPr>
              <w:t>食堂消防安全处置预案</w:t>
            </w:r>
          </w:p>
        </w:tc>
        <w:tc>
          <w:tcPr>
            <w:tcW w:w="313" w:type="pct"/>
            <w:noWrap/>
            <w:vAlign w:val="center"/>
          </w:tcPr>
          <w:p w14:paraId="349ACE92">
            <w:pPr>
              <w:pStyle w:val="42"/>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4"/>
                <w:highlight w:val="none"/>
                <w:lang w:val="en-US" w:eastAsia="zh-CN" w:bidi="ar-SA"/>
              </w:rPr>
            </w:pPr>
            <w:r>
              <w:rPr>
                <w:rFonts w:hint="eastAsia" w:asciiTheme="minorEastAsia" w:hAnsiTheme="minorEastAsia" w:cstheme="minorEastAsia"/>
                <w:color w:val="auto"/>
                <w:kern w:val="0"/>
                <w:sz w:val="24"/>
                <w:highlight w:val="none"/>
                <w:lang w:val="en-US" w:eastAsia="zh-CN" w:bidi="ar-SA"/>
              </w:rPr>
              <w:t>2</w:t>
            </w:r>
          </w:p>
        </w:tc>
        <w:tc>
          <w:tcPr>
            <w:tcW w:w="3928" w:type="pct"/>
            <w:noWrap/>
            <w:vAlign w:val="center"/>
          </w:tcPr>
          <w:p w14:paraId="1758C098">
            <w:pPr>
              <w:pStyle w:val="42"/>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4"/>
                <w:highlight w:val="none"/>
                <w:lang w:val="en-US" w:eastAsia="zh-CN" w:bidi="ar-SA"/>
              </w:rPr>
            </w:pPr>
            <w:r>
              <w:rPr>
                <w:rFonts w:hint="eastAsia" w:ascii="宋体" w:hAnsi="宋体" w:eastAsia="宋体" w:cs="宋体"/>
                <w:color w:val="auto"/>
                <w:sz w:val="24"/>
                <w:highlight w:val="none"/>
                <w:lang w:eastAsia="zh-CN"/>
              </w:rPr>
              <w:t>根据供应商针对本合同包提供的食堂消防安全处置预案（至少包含：①工作人员消防职责组织的培训、②组织演练计划、③消防器材使用培训、④消防安全检查、确保食堂消防安全达标方案）</w:t>
            </w:r>
            <w:r>
              <w:rPr>
                <w:rFonts w:hint="eastAsia" w:ascii="宋体" w:hAnsi="宋体" w:eastAsia="宋体" w:cs="宋体"/>
                <w:color w:val="auto"/>
                <w:sz w:val="24"/>
                <w:szCs w:val="24"/>
                <w:highlight w:val="none"/>
                <w:lang w:eastAsia="zh-CN" w:bidi="ar"/>
              </w:rPr>
              <w:t>，由评委进行评分：</w:t>
            </w:r>
            <w:r>
              <w:rPr>
                <w:rFonts w:hint="eastAsia" w:ascii="宋体" w:hAnsi="宋体" w:eastAsia="宋体" w:cs="宋体"/>
                <w:color w:val="auto"/>
                <w:sz w:val="24"/>
                <w:szCs w:val="24"/>
                <w:highlight w:val="none"/>
                <w:lang w:eastAsia="zh-CN" w:bidi="ar"/>
              </w:rPr>
              <w:br w:type="textWrapping"/>
            </w:r>
            <w:r>
              <w:rPr>
                <w:rFonts w:hint="eastAsia" w:ascii="宋体" w:hAnsi="宋体" w:eastAsia="宋体" w:cs="宋体"/>
                <w:color w:val="auto"/>
                <w:sz w:val="24"/>
                <w:szCs w:val="24"/>
                <w:highlight w:val="none"/>
                <w:lang w:eastAsia="zh-CN" w:bidi="ar"/>
              </w:rPr>
              <w:t>方案包含的要点齐全无缺漏项、内容与要点相符、各要点均有展开详细阐述、针对性强、可实施性高、切合项目实际情况的得</w:t>
            </w:r>
            <w:r>
              <w:rPr>
                <w:rFonts w:hint="eastAsia" w:ascii="宋体" w:hAnsi="宋体" w:eastAsia="宋体" w:cs="宋体"/>
                <w:color w:val="auto"/>
                <w:sz w:val="24"/>
                <w:szCs w:val="24"/>
                <w:highlight w:val="none"/>
                <w:lang w:val="en-US" w:eastAsia="zh-CN" w:bidi="ar"/>
              </w:rPr>
              <w:t>2</w:t>
            </w:r>
            <w:r>
              <w:rPr>
                <w:rFonts w:hint="eastAsia" w:ascii="宋体" w:hAnsi="宋体" w:eastAsia="宋体" w:cs="宋体"/>
                <w:color w:val="auto"/>
                <w:sz w:val="24"/>
                <w:szCs w:val="24"/>
                <w:highlight w:val="none"/>
                <w:lang w:eastAsia="zh-CN" w:bidi="ar"/>
              </w:rPr>
              <w:t>分；方案包含的要点齐全无缺漏项、针对性较强、可实施性较高，内容与要点相符且均有展开阐述，虽然没有特别具体但总体符合项目实际情况的得</w:t>
            </w:r>
            <w:r>
              <w:rPr>
                <w:rFonts w:hint="eastAsia" w:ascii="宋体" w:hAnsi="宋体" w:eastAsia="宋体" w:cs="宋体"/>
                <w:color w:val="auto"/>
                <w:sz w:val="24"/>
                <w:szCs w:val="24"/>
                <w:highlight w:val="none"/>
                <w:lang w:val="en-US" w:eastAsia="zh-CN" w:bidi="ar"/>
              </w:rPr>
              <w:t>1.85</w:t>
            </w:r>
            <w:r>
              <w:rPr>
                <w:rFonts w:hint="eastAsia" w:ascii="宋体" w:hAnsi="宋体" w:eastAsia="宋体" w:cs="宋体"/>
                <w:color w:val="auto"/>
                <w:sz w:val="24"/>
                <w:szCs w:val="24"/>
                <w:highlight w:val="none"/>
                <w:lang w:eastAsia="zh-CN" w:bidi="ar"/>
              </w:rPr>
              <w:t>分；方案包含的要点齐全无缺漏项、仅有纲要、内容简略但内容与要点相符，具有一定可实施性和针对性，虽未展开详细阐述但能够适用于本项目的得</w:t>
            </w:r>
            <w:r>
              <w:rPr>
                <w:rFonts w:hint="eastAsia" w:ascii="宋体" w:hAnsi="宋体" w:eastAsia="宋体" w:cs="宋体"/>
                <w:color w:val="auto"/>
                <w:sz w:val="24"/>
                <w:szCs w:val="24"/>
                <w:highlight w:val="none"/>
                <w:lang w:val="en-US" w:eastAsia="zh-CN" w:bidi="ar"/>
              </w:rPr>
              <w:t>1.7</w:t>
            </w:r>
            <w:r>
              <w:rPr>
                <w:rFonts w:hint="eastAsia" w:ascii="宋体" w:hAnsi="宋体" w:eastAsia="宋体" w:cs="宋体"/>
                <w:color w:val="auto"/>
                <w:sz w:val="24"/>
                <w:szCs w:val="24"/>
                <w:highlight w:val="none"/>
                <w:lang w:eastAsia="zh-CN" w:bidi="ar"/>
              </w:rPr>
              <w:t>分；未提供方案或方案要点有缺漏或内容存在明显错误、不适用于本项目的不得分。</w:t>
            </w:r>
          </w:p>
        </w:tc>
      </w:tr>
      <w:tr w14:paraId="64BD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4"/>
            <w:noWrap/>
            <w:vAlign w:val="center"/>
          </w:tcPr>
          <w:p w14:paraId="42A4B480">
            <w:pPr>
              <w:spacing w:line="360" w:lineRule="auto"/>
              <w:rPr>
                <w:rFonts w:hint="default" w:ascii="宋体" w:eastAsia="宋体"/>
                <w:sz w:val="24"/>
                <w:lang w:val="en-US" w:eastAsia="zh-CN"/>
              </w:rPr>
            </w:pPr>
            <w:r>
              <w:rPr>
                <w:rFonts w:hint="eastAsia" w:ascii="宋体" w:hAnsi="宋体"/>
                <w:sz w:val="24"/>
              </w:rPr>
              <w:t>各投标人的技术部分得分</w:t>
            </w:r>
            <w:r>
              <w:rPr>
                <w:rFonts w:ascii="宋体" w:hAnsi="宋体"/>
                <w:sz w:val="24"/>
              </w:rPr>
              <w:t>A=A1+A2+A3+A4+A5</w:t>
            </w:r>
            <w:r>
              <w:rPr>
                <w:rFonts w:hint="eastAsia" w:ascii="宋体" w:hAnsi="宋体"/>
                <w:sz w:val="24"/>
                <w:lang w:val="en-US" w:eastAsia="zh-CN"/>
              </w:rPr>
              <w:t>+A6+A7+A8+A9+A10+A11+A12</w:t>
            </w:r>
          </w:p>
        </w:tc>
      </w:tr>
      <w:tr w14:paraId="4638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noWrap/>
            <w:vAlign w:val="center"/>
          </w:tcPr>
          <w:p w14:paraId="1FA291A5">
            <w:pPr>
              <w:spacing w:line="360" w:lineRule="auto"/>
              <w:jc w:val="center"/>
              <w:rPr>
                <w:rFonts w:ascii="宋体"/>
                <w:b/>
                <w:sz w:val="24"/>
              </w:rPr>
            </w:pPr>
            <w:r>
              <w:rPr>
                <w:rFonts w:hint="eastAsia" w:ascii="宋体" w:hAnsi="宋体"/>
                <w:b/>
                <w:sz w:val="24"/>
              </w:rPr>
              <w:t>二</w:t>
            </w:r>
          </w:p>
        </w:tc>
        <w:tc>
          <w:tcPr>
            <w:tcW w:w="4682" w:type="pct"/>
            <w:gridSpan w:val="3"/>
            <w:noWrap/>
          </w:tcPr>
          <w:p w14:paraId="4B30F5E2">
            <w:pPr>
              <w:spacing w:line="360" w:lineRule="auto"/>
              <w:rPr>
                <w:rFonts w:ascii="宋体"/>
                <w:b/>
                <w:sz w:val="24"/>
              </w:rPr>
            </w:pPr>
            <w:r>
              <w:rPr>
                <w:rFonts w:hint="eastAsia" w:ascii="宋体" w:hAnsi="宋体"/>
                <w:b/>
                <w:sz w:val="24"/>
              </w:rPr>
              <w:t>商务部分评分（</w:t>
            </w:r>
            <w:r>
              <w:rPr>
                <w:rFonts w:ascii="宋体" w:hAnsi="宋体"/>
                <w:b/>
                <w:sz w:val="24"/>
              </w:rPr>
              <w:t>B</w:t>
            </w:r>
            <w:r>
              <w:rPr>
                <w:rFonts w:hint="eastAsia" w:ascii="宋体" w:hAnsi="宋体"/>
                <w:b/>
                <w:sz w:val="24"/>
              </w:rPr>
              <w:t>满分</w:t>
            </w:r>
            <w:r>
              <w:rPr>
                <w:rFonts w:hint="eastAsia" w:ascii="宋体" w:hAnsi="宋体"/>
                <w:b/>
                <w:bCs/>
                <w:sz w:val="24"/>
                <w:lang w:val="en-US" w:eastAsia="zh-CN"/>
              </w:rPr>
              <w:t>15</w:t>
            </w:r>
            <w:r>
              <w:rPr>
                <w:rFonts w:hint="eastAsia" w:ascii="宋体" w:hAnsi="宋体"/>
                <w:b/>
                <w:bCs/>
                <w:sz w:val="24"/>
              </w:rPr>
              <w:t>分</w:t>
            </w:r>
            <w:r>
              <w:rPr>
                <w:rFonts w:hint="eastAsia" w:ascii="宋体" w:hAnsi="宋体"/>
                <w:b/>
                <w:sz w:val="24"/>
              </w:rPr>
              <w:t>）</w:t>
            </w:r>
          </w:p>
        </w:tc>
      </w:tr>
      <w:tr w14:paraId="3069C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restart"/>
            <w:noWrap/>
            <w:vAlign w:val="center"/>
          </w:tcPr>
          <w:p w14:paraId="7D66CAD2">
            <w:pPr>
              <w:spacing w:line="240" w:lineRule="auto"/>
              <w:jc w:val="center"/>
              <w:rPr>
                <w:rFonts w:hint="default" w:ascii="宋体" w:hAnsi="宋体" w:eastAsia="宋体"/>
                <w:sz w:val="24"/>
                <w:lang w:val="en-US" w:eastAsia="zh-CN"/>
              </w:rPr>
            </w:pPr>
            <w:r>
              <w:rPr>
                <w:rFonts w:hint="eastAsia" w:ascii="宋体" w:hAnsi="宋体"/>
                <w:sz w:val="24"/>
                <w:lang w:val="en-US" w:eastAsia="zh-CN"/>
              </w:rPr>
              <w:t>B1</w:t>
            </w:r>
          </w:p>
        </w:tc>
        <w:tc>
          <w:tcPr>
            <w:tcW w:w="440" w:type="pct"/>
            <w:vMerge w:val="restart"/>
            <w:noWrap/>
            <w:vAlign w:val="center"/>
          </w:tcPr>
          <w:p w14:paraId="243C3679">
            <w:pPr>
              <w:widowControl/>
              <w:spacing w:line="240" w:lineRule="auto"/>
              <w:jc w:val="both"/>
              <w:outlineLvl w:val="9"/>
              <w:rPr>
                <w:rFonts w:hint="eastAsia" w:ascii="宋体" w:cs="宋体"/>
                <w:sz w:val="24"/>
                <w:lang w:eastAsia="zh-CN"/>
              </w:rPr>
            </w:pPr>
            <w:r>
              <w:rPr>
                <w:rFonts w:hint="eastAsia" w:ascii="宋体" w:hAnsi="宋体" w:eastAsia="宋体" w:cs="宋体"/>
                <w:bCs/>
                <w:color w:val="auto"/>
                <w:spacing w:val="-2"/>
                <w:sz w:val="24"/>
                <w:highlight w:val="none"/>
              </w:rPr>
              <w:t>投保情况</w:t>
            </w:r>
          </w:p>
        </w:tc>
        <w:tc>
          <w:tcPr>
            <w:tcW w:w="313" w:type="pct"/>
            <w:noWrap/>
            <w:vAlign w:val="center"/>
          </w:tcPr>
          <w:p w14:paraId="5011A8B8">
            <w:pPr>
              <w:keepNext w:val="0"/>
              <w:keepLines w:val="0"/>
              <w:pageBreakBefore w:val="0"/>
              <w:kinsoku/>
              <w:wordWrap/>
              <w:topLinePunct w:val="0"/>
              <w:bidi w:val="0"/>
              <w:snapToGrid/>
              <w:spacing w:line="240" w:lineRule="auto"/>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2</w:t>
            </w:r>
          </w:p>
        </w:tc>
        <w:tc>
          <w:tcPr>
            <w:tcW w:w="3928" w:type="pct"/>
            <w:noWrap/>
            <w:vAlign w:val="center"/>
          </w:tcPr>
          <w:p w14:paraId="2037EC31">
            <w:pPr>
              <w:keepNext w:val="0"/>
              <w:keepLines w:val="0"/>
              <w:pageBreakBefore w:val="0"/>
              <w:kinsoku/>
              <w:wordWrap/>
              <w:topLinePunct w:val="0"/>
              <w:bidi w:val="0"/>
              <w:snapToGrid/>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根据投标人承诺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中标后或者签订合同前为本项目投保的公众责任险保额情况进行评分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①</w:t>
            </w:r>
            <w:r>
              <w:rPr>
                <w:rFonts w:hint="eastAsia" w:ascii="宋体" w:hAnsi="宋体" w:eastAsia="宋体" w:cs="宋体"/>
                <w:color w:val="auto"/>
                <w:kern w:val="0"/>
                <w:sz w:val="24"/>
                <w:highlight w:val="none"/>
                <w:lang w:val="en-US" w:eastAsia="zh-CN"/>
              </w:rPr>
              <w:t>100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0.5</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②</w:t>
            </w:r>
            <w:r>
              <w:rPr>
                <w:rFonts w:hint="eastAsia" w:ascii="宋体" w:hAnsi="宋体" w:eastAsia="宋体" w:cs="宋体"/>
                <w:color w:val="auto"/>
                <w:kern w:val="0"/>
                <w:sz w:val="24"/>
                <w:highlight w:val="none"/>
                <w:lang w:val="en-US" w:eastAsia="zh-CN"/>
              </w:rPr>
              <w:t>200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③</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须提供承诺函</w:t>
            </w:r>
            <w:r>
              <w:rPr>
                <w:rFonts w:hint="eastAsia" w:asciiTheme="minorEastAsia" w:hAnsiTheme="minorEastAsia" w:eastAsiaTheme="minorEastAsia" w:cstheme="minorEastAsia"/>
                <w:b/>
                <w:bCs/>
                <w:color w:val="auto"/>
                <w:kern w:val="0"/>
                <w:sz w:val="24"/>
                <w:highlight w:val="none"/>
                <w:lang w:val="en-US" w:eastAsia="zh-CN"/>
              </w:rPr>
              <w:t>（格式自拟）</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bidi="ar"/>
              </w:rPr>
              <w:t>未提供的则本项不得分</w:t>
            </w:r>
            <w:r>
              <w:rPr>
                <w:rFonts w:hint="eastAsia" w:ascii="宋体" w:hAnsi="宋体" w:eastAsia="宋体" w:cs="宋体"/>
                <w:color w:val="auto"/>
                <w:sz w:val="24"/>
                <w:highlight w:val="none"/>
              </w:rPr>
              <w:t>。</w:t>
            </w:r>
          </w:p>
        </w:tc>
      </w:tr>
      <w:tr w14:paraId="5A77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19D2CB17">
            <w:pPr>
              <w:spacing w:line="240" w:lineRule="auto"/>
              <w:jc w:val="center"/>
              <w:rPr>
                <w:rFonts w:ascii="宋体" w:hAnsi="宋体"/>
                <w:sz w:val="24"/>
              </w:rPr>
            </w:pPr>
          </w:p>
        </w:tc>
        <w:tc>
          <w:tcPr>
            <w:tcW w:w="440" w:type="pct"/>
            <w:vMerge w:val="continue"/>
            <w:noWrap/>
            <w:vAlign w:val="center"/>
          </w:tcPr>
          <w:p w14:paraId="56B9E534">
            <w:pPr>
              <w:widowControl/>
              <w:spacing w:line="240" w:lineRule="auto"/>
              <w:jc w:val="center"/>
              <w:outlineLvl w:val="9"/>
              <w:rPr>
                <w:rFonts w:hint="eastAsia" w:ascii="宋体" w:cs="宋体"/>
                <w:sz w:val="24"/>
                <w:lang w:eastAsia="zh-CN"/>
              </w:rPr>
            </w:pPr>
          </w:p>
        </w:tc>
        <w:tc>
          <w:tcPr>
            <w:tcW w:w="313" w:type="pct"/>
            <w:noWrap/>
            <w:vAlign w:val="center"/>
          </w:tcPr>
          <w:p w14:paraId="13F561C2">
            <w:pPr>
              <w:keepNext w:val="0"/>
              <w:keepLines w:val="0"/>
              <w:pageBreakBefore w:val="0"/>
              <w:kinsoku/>
              <w:wordWrap/>
              <w:topLinePunct w:val="0"/>
              <w:bidi w:val="0"/>
              <w:snapToGrid/>
              <w:spacing w:line="240" w:lineRule="auto"/>
              <w:jc w:val="center"/>
              <w:rPr>
                <w:rFonts w:hint="default"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2</w:t>
            </w:r>
          </w:p>
        </w:tc>
        <w:tc>
          <w:tcPr>
            <w:tcW w:w="3928" w:type="pct"/>
            <w:noWrap/>
            <w:vAlign w:val="center"/>
          </w:tcPr>
          <w:p w14:paraId="1EAA615A">
            <w:pPr>
              <w:keepNext w:val="0"/>
              <w:keepLines w:val="0"/>
              <w:pageBreakBefore w:val="0"/>
              <w:kinsoku/>
              <w:wordWrap/>
              <w:topLinePunct w:val="0"/>
              <w:bidi w:val="0"/>
              <w:snapToGrid/>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根据投标人承诺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中标后或者签订合同前为本项目投保的食品安全责任险保额情况进行评分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①</w:t>
            </w:r>
            <w:r>
              <w:rPr>
                <w:rFonts w:hint="eastAsia" w:ascii="宋体" w:hAnsi="宋体" w:eastAsia="宋体" w:cs="宋体"/>
                <w:color w:val="auto"/>
                <w:kern w:val="0"/>
                <w:sz w:val="24"/>
                <w:highlight w:val="none"/>
                <w:lang w:val="en-US" w:eastAsia="zh-CN"/>
              </w:rPr>
              <w:t>100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0.5</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②</w:t>
            </w:r>
            <w:r>
              <w:rPr>
                <w:rFonts w:hint="eastAsia" w:ascii="宋体" w:hAnsi="宋体" w:eastAsia="宋体" w:cs="宋体"/>
                <w:color w:val="auto"/>
                <w:kern w:val="0"/>
                <w:sz w:val="24"/>
                <w:highlight w:val="none"/>
                <w:lang w:val="en-US" w:eastAsia="zh-CN"/>
              </w:rPr>
              <w:t>200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③</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须提供承诺函</w:t>
            </w:r>
            <w:r>
              <w:rPr>
                <w:rFonts w:hint="eastAsia" w:asciiTheme="minorEastAsia" w:hAnsiTheme="minorEastAsia" w:eastAsiaTheme="minorEastAsia" w:cstheme="minorEastAsia"/>
                <w:b/>
                <w:bCs/>
                <w:color w:val="auto"/>
                <w:kern w:val="0"/>
                <w:sz w:val="24"/>
                <w:highlight w:val="none"/>
                <w:lang w:val="en-US" w:eastAsia="zh-CN"/>
              </w:rPr>
              <w:t>（格式自拟）</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bidi="ar"/>
              </w:rPr>
              <w:t>未提供的则本项不得分</w:t>
            </w:r>
            <w:r>
              <w:rPr>
                <w:rFonts w:hint="eastAsia" w:ascii="宋体" w:hAnsi="宋体" w:eastAsia="宋体" w:cs="宋体"/>
                <w:color w:val="auto"/>
                <w:sz w:val="24"/>
                <w:highlight w:val="none"/>
              </w:rPr>
              <w:t>。</w:t>
            </w:r>
          </w:p>
        </w:tc>
      </w:tr>
      <w:tr w14:paraId="5143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 w:type="pct"/>
            <w:vMerge w:val="continue"/>
            <w:noWrap/>
            <w:vAlign w:val="center"/>
          </w:tcPr>
          <w:p w14:paraId="066DA161">
            <w:pPr>
              <w:spacing w:line="240" w:lineRule="auto"/>
              <w:jc w:val="center"/>
              <w:rPr>
                <w:rFonts w:ascii="宋体" w:hAnsi="宋体"/>
                <w:sz w:val="24"/>
              </w:rPr>
            </w:pPr>
          </w:p>
        </w:tc>
        <w:tc>
          <w:tcPr>
            <w:tcW w:w="440" w:type="pct"/>
            <w:vMerge w:val="continue"/>
            <w:noWrap/>
            <w:vAlign w:val="center"/>
          </w:tcPr>
          <w:p w14:paraId="30CE5D39">
            <w:pPr>
              <w:widowControl/>
              <w:spacing w:line="240" w:lineRule="auto"/>
              <w:jc w:val="center"/>
              <w:outlineLvl w:val="9"/>
              <w:rPr>
                <w:rFonts w:hint="eastAsia" w:ascii="宋体" w:cs="宋体"/>
                <w:sz w:val="24"/>
                <w:lang w:eastAsia="zh-CN"/>
              </w:rPr>
            </w:pPr>
          </w:p>
        </w:tc>
        <w:tc>
          <w:tcPr>
            <w:tcW w:w="313" w:type="pct"/>
            <w:noWrap/>
            <w:vAlign w:val="center"/>
          </w:tcPr>
          <w:p w14:paraId="3E88CA08">
            <w:pPr>
              <w:keepNext w:val="0"/>
              <w:keepLines w:val="0"/>
              <w:pageBreakBefore w:val="0"/>
              <w:kinsoku/>
              <w:wordWrap/>
              <w:topLinePunct w:val="0"/>
              <w:bidi w:val="0"/>
              <w:snapToGrid/>
              <w:spacing w:line="240" w:lineRule="auto"/>
              <w:jc w:val="center"/>
              <w:rPr>
                <w:rFonts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2</w:t>
            </w:r>
          </w:p>
        </w:tc>
        <w:tc>
          <w:tcPr>
            <w:tcW w:w="3928" w:type="pct"/>
            <w:noWrap/>
            <w:vAlign w:val="center"/>
          </w:tcPr>
          <w:p w14:paraId="7DAB25E6">
            <w:pPr>
              <w:keepNext w:val="0"/>
              <w:keepLines w:val="0"/>
              <w:pageBreakBefore w:val="0"/>
              <w:kinsoku/>
              <w:wordWrap/>
              <w:topLinePunct w:val="0"/>
              <w:bidi w:val="0"/>
              <w:snapToGrid/>
              <w:spacing w:line="240" w:lineRule="auto"/>
              <w:jc w:val="left"/>
              <w:rPr>
                <w:rFonts w:hint="eastAsia" w:ascii="宋体" w:hAnsi="宋体" w:eastAsia="宋体" w:cs="宋体"/>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根据投标人承诺</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中标后或者签订合同前为本项目投保的员工意外伤害险保额情况进行评分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①</w:t>
            </w:r>
            <w:r>
              <w:rPr>
                <w:rFonts w:hint="eastAsia" w:ascii="宋体" w:hAnsi="宋体" w:eastAsia="宋体" w:cs="宋体"/>
                <w:color w:val="auto"/>
                <w:kern w:val="0"/>
                <w:sz w:val="24"/>
                <w:highlight w:val="none"/>
                <w:lang w:val="en-US" w:eastAsia="zh-CN"/>
              </w:rPr>
              <w:t>100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rPr>
              <w:t>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0.5</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②</w:t>
            </w:r>
            <w:r>
              <w:rPr>
                <w:rFonts w:hint="eastAsia" w:ascii="宋体" w:hAnsi="宋体" w:eastAsia="宋体" w:cs="宋体"/>
                <w:color w:val="auto"/>
                <w:kern w:val="0"/>
                <w:sz w:val="24"/>
                <w:highlight w:val="none"/>
                <w:lang w:val="en-US" w:eastAsia="zh-CN"/>
              </w:rPr>
              <w:t>200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1</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eastAsia="zh-CN"/>
              </w:rPr>
              <w:br w:type="textWrapping"/>
            </w:r>
            <w:r>
              <w:rPr>
                <w:rFonts w:hint="eastAsia" w:asciiTheme="minorEastAsia" w:hAnsiTheme="minorEastAsia" w:eastAsiaTheme="minorEastAsia" w:cstheme="minorEastAsia"/>
                <w:color w:val="auto"/>
                <w:kern w:val="0"/>
                <w:sz w:val="24"/>
                <w:highlight w:val="none"/>
                <w:lang w:eastAsia="zh-CN"/>
              </w:rPr>
              <w:t>③</w:t>
            </w:r>
            <w:r>
              <w:rPr>
                <w:rFonts w:hint="eastAsia" w:asciiTheme="minorEastAsia" w:hAnsiTheme="minorEastAsia" w:eastAsiaTheme="minorEastAsia" w:cstheme="minorEastAsia"/>
                <w:color w:val="auto"/>
                <w:kern w:val="0"/>
                <w:sz w:val="24"/>
                <w:highlight w:val="none"/>
              </w:rPr>
              <w:t>保险保额＞</w:t>
            </w:r>
            <w:r>
              <w:rPr>
                <w:rFonts w:hint="eastAsia" w:ascii="宋体" w:hAnsi="宋体" w:eastAsia="宋体" w:cs="宋体"/>
                <w:color w:val="auto"/>
                <w:kern w:val="0"/>
                <w:sz w:val="24"/>
                <w:highlight w:val="none"/>
              </w:rPr>
              <w:t>300</w:t>
            </w:r>
            <w:r>
              <w:rPr>
                <w:rFonts w:hint="eastAsia" w:asciiTheme="minorEastAsia" w:hAnsiTheme="minorEastAsia" w:eastAsiaTheme="minorEastAsia" w:cstheme="minorEastAsia"/>
                <w:color w:val="auto"/>
                <w:kern w:val="0"/>
                <w:sz w:val="24"/>
                <w:highlight w:val="none"/>
              </w:rPr>
              <w:t>万</w:t>
            </w:r>
            <w:r>
              <w:rPr>
                <w:rFonts w:hint="eastAsia" w:asciiTheme="minorEastAsia" w:hAnsiTheme="minorEastAsia" w:eastAsiaTheme="minorEastAsia" w:cstheme="minorEastAsia"/>
                <w:color w:val="auto"/>
                <w:kern w:val="0"/>
                <w:sz w:val="24"/>
                <w:highlight w:val="none"/>
                <w:lang w:val="en-US" w:eastAsia="zh-CN"/>
              </w:rPr>
              <w:t>元</w:t>
            </w:r>
            <w:r>
              <w:rPr>
                <w:rFonts w:hint="eastAsia" w:asciiTheme="minorEastAsia" w:hAnsiTheme="minorEastAsia" w:eastAsiaTheme="minorEastAsia" w:cstheme="minorEastAsia"/>
                <w:color w:val="auto"/>
                <w:kern w:val="0"/>
                <w:sz w:val="24"/>
                <w:highlight w:val="none"/>
              </w:rPr>
              <w:t>得</w:t>
            </w:r>
            <w:r>
              <w:rPr>
                <w:rFonts w:hint="eastAsia" w:asciiTheme="minorEastAsia" w:hAnsiTheme="minorEastAsia" w:eastAsiaTheme="minorEastAsia" w:cstheme="minorEastAsia"/>
                <w:color w:val="auto"/>
                <w:kern w:val="0"/>
                <w:sz w:val="24"/>
                <w:highlight w:val="none"/>
                <w:lang w:val="en-US" w:eastAsia="zh-CN"/>
              </w:rPr>
              <w:t>2</w:t>
            </w:r>
            <w:r>
              <w:rPr>
                <w:rFonts w:hint="eastAsia" w:asciiTheme="minorEastAsia" w:hAnsiTheme="minorEastAsia" w:eastAsiaTheme="minorEastAsia" w:cstheme="minorEastAsia"/>
                <w:color w:val="auto"/>
                <w:kern w:val="0"/>
                <w:sz w:val="24"/>
                <w:highlight w:val="none"/>
              </w:rPr>
              <w:t>分</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须提供承诺函</w:t>
            </w:r>
            <w:r>
              <w:rPr>
                <w:rFonts w:hint="eastAsia" w:asciiTheme="minorEastAsia" w:hAnsiTheme="minorEastAsia" w:eastAsiaTheme="minorEastAsia" w:cstheme="minorEastAsia"/>
                <w:b/>
                <w:bCs/>
                <w:color w:val="auto"/>
                <w:kern w:val="0"/>
                <w:sz w:val="24"/>
                <w:highlight w:val="none"/>
                <w:lang w:val="en-US" w:eastAsia="zh-CN"/>
              </w:rPr>
              <w:t>（格式自拟）</w:t>
            </w:r>
            <w:r>
              <w:rPr>
                <w:rFonts w:hint="eastAsia" w:ascii="宋体" w:hAnsi="宋体" w:eastAsia="宋体" w:cs="宋体"/>
                <w:color w:val="auto"/>
                <w:sz w:val="24"/>
                <w:highlight w:val="none"/>
                <w:lang w:eastAsia="zh-CN"/>
              </w:rPr>
              <w:t>，</w:t>
            </w:r>
            <w:r>
              <w:rPr>
                <w:rFonts w:hint="eastAsia" w:ascii="宋体" w:hAnsi="宋体" w:eastAsia="宋体" w:cs="宋体"/>
                <w:color w:val="auto"/>
                <w:kern w:val="0"/>
                <w:sz w:val="24"/>
                <w:highlight w:val="none"/>
                <w:lang w:bidi="ar"/>
              </w:rPr>
              <w:t>未提供的则本项不得分</w:t>
            </w:r>
            <w:r>
              <w:rPr>
                <w:rFonts w:hint="eastAsia" w:ascii="宋体" w:hAnsi="宋体" w:eastAsia="宋体" w:cs="宋体"/>
                <w:color w:val="auto"/>
                <w:sz w:val="24"/>
                <w:highlight w:val="none"/>
              </w:rPr>
              <w:t>。</w:t>
            </w:r>
          </w:p>
        </w:tc>
      </w:tr>
      <w:tr w14:paraId="1759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17" w:type="pct"/>
            <w:noWrap/>
            <w:vAlign w:val="center"/>
          </w:tcPr>
          <w:p w14:paraId="4D0FD58D">
            <w:pPr>
              <w:spacing w:line="240" w:lineRule="auto"/>
              <w:jc w:val="center"/>
              <w:rPr>
                <w:rFonts w:ascii="宋体"/>
                <w:sz w:val="24"/>
              </w:rPr>
            </w:pPr>
            <w:r>
              <w:rPr>
                <w:rFonts w:ascii="宋体" w:hAnsi="宋体"/>
                <w:sz w:val="24"/>
              </w:rPr>
              <w:t>B2</w:t>
            </w:r>
          </w:p>
        </w:tc>
        <w:tc>
          <w:tcPr>
            <w:tcW w:w="440" w:type="pct"/>
            <w:noWrap/>
            <w:vAlign w:val="center"/>
          </w:tcPr>
          <w:p w14:paraId="63A2720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Calibri" w:eastAsia="宋体" w:cs="Times New Roman"/>
                <w:kern w:val="0"/>
                <w:sz w:val="24"/>
                <w:szCs w:val="20"/>
                <w:lang w:val="en-US" w:eastAsia="zh-CN" w:bidi="ar-SA"/>
              </w:rPr>
            </w:pPr>
            <w:r>
              <w:rPr>
                <w:rFonts w:hint="eastAsia" w:asciiTheme="minorEastAsia" w:hAnsiTheme="minorEastAsia" w:eastAsiaTheme="minorEastAsia" w:cstheme="minorEastAsia"/>
                <w:color w:val="auto"/>
                <w:kern w:val="0"/>
                <w:sz w:val="24"/>
                <w:highlight w:val="none"/>
              </w:rPr>
              <w:t>业绩</w:t>
            </w:r>
          </w:p>
        </w:tc>
        <w:tc>
          <w:tcPr>
            <w:tcW w:w="313" w:type="pct"/>
            <w:noWrap/>
            <w:vAlign w:val="center"/>
          </w:tcPr>
          <w:p w14:paraId="346A2790">
            <w:pPr>
              <w:keepNext w:val="0"/>
              <w:keepLines w:val="0"/>
              <w:pageBreakBefore w:val="0"/>
              <w:kinsoku/>
              <w:wordWrap/>
              <w:topLinePunct w:val="0"/>
              <w:bidi w:val="0"/>
              <w:snapToGrid/>
              <w:spacing w:line="240" w:lineRule="auto"/>
              <w:jc w:val="center"/>
              <w:rPr>
                <w:rFonts w:ascii="宋体" w:hAnsi="Calibri" w:eastAsia="宋体" w:cs="宋体"/>
                <w:bCs/>
                <w:kern w:val="0"/>
                <w:sz w:val="24"/>
                <w:szCs w:val="20"/>
                <w:lang w:val="en-US" w:eastAsia="zh-CN" w:bidi="ar-SA"/>
              </w:rPr>
            </w:pPr>
            <w:r>
              <w:rPr>
                <w:rFonts w:hint="eastAsia" w:asciiTheme="minorEastAsia" w:hAnsiTheme="minorEastAsia" w:eastAsiaTheme="minorEastAsia" w:cstheme="minorEastAsia"/>
                <w:color w:val="auto"/>
                <w:kern w:val="0"/>
                <w:sz w:val="24"/>
                <w:highlight w:val="none"/>
              </w:rPr>
              <w:t>3</w:t>
            </w:r>
          </w:p>
        </w:tc>
        <w:tc>
          <w:tcPr>
            <w:tcW w:w="3928" w:type="pct"/>
            <w:noWrap/>
            <w:vAlign w:val="center"/>
          </w:tcPr>
          <w:p w14:paraId="57F0FF61">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根据投标人提供的</w:t>
            </w:r>
            <w:r>
              <w:rPr>
                <w:rFonts w:hint="eastAsia" w:asciiTheme="minorEastAsia" w:hAnsiTheme="minorEastAsia" w:eastAsiaTheme="minorEastAsia" w:cstheme="minorEastAsia"/>
                <w:color w:val="auto"/>
                <w:kern w:val="0"/>
                <w:sz w:val="24"/>
                <w:highlight w:val="none"/>
                <w:lang w:eastAsia="zh-CN"/>
              </w:rPr>
              <w:t>自</w:t>
            </w:r>
            <w:r>
              <w:rPr>
                <w:rFonts w:hint="eastAsia" w:asciiTheme="minorEastAsia" w:hAnsiTheme="minorEastAsia" w:eastAsiaTheme="minorEastAsia" w:cstheme="minorEastAsia"/>
                <w:color w:val="auto"/>
                <w:kern w:val="0"/>
                <w:sz w:val="24"/>
                <w:highlight w:val="none"/>
              </w:rPr>
              <w:t>20</w:t>
            </w:r>
            <w:r>
              <w:rPr>
                <w:rFonts w:hint="eastAsia" w:asciiTheme="minorEastAsia" w:hAnsiTheme="minorEastAsia" w:eastAsiaTheme="minorEastAsia" w:cstheme="minorEastAsia"/>
                <w:color w:val="auto"/>
                <w:kern w:val="0"/>
                <w:sz w:val="24"/>
                <w:highlight w:val="none"/>
                <w:lang w:val="en-US" w:eastAsia="zh-CN"/>
              </w:rPr>
              <w:t>21</w:t>
            </w:r>
            <w:r>
              <w:rPr>
                <w:rFonts w:hint="eastAsia" w:asciiTheme="minorEastAsia" w:hAnsiTheme="minorEastAsia" w:eastAsiaTheme="minorEastAsia" w:cstheme="minorEastAsia"/>
                <w:color w:val="auto"/>
                <w:kern w:val="0"/>
                <w:sz w:val="24"/>
                <w:highlight w:val="none"/>
              </w:rPr>
              <w:t>年1月1日起至本项目投标截止日期</w:t>
            </w:r>
            <w:r>
              <w:rPr>
                <w:rFonts w:hint="eastAsia" w:asciiTheme="minorEastAsia" w:hAnsiTheme="minorEastAsia" w:eastAsiaTheme="minorEastAsia" w:cstheme="minorEastAsia"/>
                <w:color w:val="auto"/>
                <w:kern w:val="0"/>
                <w:sz w:val="24"/>
                <w:highlight w:val="none"/>
                <w:lang w:val="en-US" w:eastAsia="zh-CN"/>
              </w:rPr>
              <w:t>止</w:t>
            </w:r>
            <w:r>
              <w:rPr>
                <w:rFonts w:hint="eastAsia" w:asciiTheme="minorEastAsia" w:hAnsiTheme="minorEastAsia" w:eastAsiaTheme="minorEastAsia" w:cstheme="minorEastAsia"/>
                <w:color w:val="auto"/>
                <w:kern w:val="0"/>
                <w:sz w:val="24"/>
                <w:highlight w:val="none"/>
              </w:rPr>
              <w:t>（以合同签订日期为准），由投标人</w:t>
            </w:r>
            <w:r>
              <w:rPr>
                <w:rFonts w:hint="eastAsia" w:asciiTheme="minorEastAsia" w:hAnsiTheme="minorEastAsia" w:eastAsiaTheme="minorEastAsia" w:cstheme="minorEastAsia"/>
                <w:color w:val="auto"/>
                <w:kern w:val="0"/>
                <w:sz w:val="24"/>
                <w:highlight w:val="none"/>
                <w:lang w:eastAsia="zh-CN"/>
              </w:rPr>
              <w:t>独立</w:t>
            </w:r>
            <w:r>
              <w:rPr>
                <w:rFonts w:hint="eastAsia" w:asciiTheme="minorEastAsia" w:hAnsiTheme="minorEastAsia" w:eastAsiaTheme="minorEastAsia" w:cstheme="minorEastAsia"/>
                <w:color w:val="auto"/>
                <w:kern w:val="0"/>
                <w:sz w:val="24"/>
                <w:highlight w:val="none"/>
              </w:rPr>
              <w:t>完成的与本次同类型</w:t>
            </w:r>
            <w:r>
              <w:rPr>
                <w:rFonts w:hint="eastAsia" w:asciiTheme="minorEastAsia" w:hAnsiTheme="minorEastAsia" w:eastAsiaTheme="minorEastAsia" w:cstheme="minorEastAsia"/>
                <w:color w:val="auto"/>
                <w:kern w:val="0"/>
                <w:sz w:val="24"/>
                <w:highlight w:val="none"/>
                <w:lang w:val="en-US" w:eastAsia="zh-CN"/>
              </w:rPr>
              <w:t>项目（同类型范围是指至少包含食堂经营服务）</w:t>
            </w:r>
            <w:r>
              <w:rPr>
                <w:rFonts w:hint="eastAsia" w:asciiTheme="minorEastAsia" w:hAnsiTheme="minorEastAsia" w:eastAsiaTheme="minorEastAsia" w:cstheme="minorEastAsia"/>
                <w:color w:val="auto"/>
                <w:kern w:val="0"/>
                <w:sz w:val="24"/>
                <w:highlight w:val="none"/>
              </w:rPr>
              <w:t>业绩情况进行评分，每提供一份业绩证明材料得1分，满分3分。</w:t>
            </w:r>
          </w:p>
          <w:p w14:paraId="43D05D8F">
            <w:pPr>
              <w:keepNext w:val="0"/>
              <w:keepLines w:val="0"/>
              <w:pageBreakBefore w:val="0"/>
              <w:kinsoku/>
              <w:wordWrap/>
              <w:topLinePunct w:val="0"/>
              <w:bidi w:val="0"/>
              <w:snapToGrid/>
              <w:spacing w:line="240" w:lineRule="auto"/>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投标人应如实提供业绩证明文件，每份业绩须同时提供①中标（成交）公告</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提供相关网站中标（成交）公告的下载网页并注明网址</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、②中标（成交）通知书复印件、③采购合同文本复印件、④能够证明该业绩项目已经</w:t>
            </w:r>
            <w:r>
              <w:rPr>
                <w:rFonts w:hint="eastAsia" w:asciiTheme="minorEastAsia" w:hAnsiTheme="minorEastAsia" w:eastAsiaTheme="minorEastAsia" w:cstheme="minorEastAsia"/>
                <w:color w:val="auto"/>
                <w:kern w:val="0"/>
                <w:sz w:val="24"/>
                <w:highlight w:val="none"/>
                <w:lang w:eastAsia="zh-CN"/>
              </w:rPr>
              <w:t>招标人</w:t>
            </w:r>
            <w:r>
              <w:rPr>
                <w:rFonts w:hint="eastAsia" w:asciiTheme="minorEastAsia" w:hAnsiTheme="minorEastAsia" w:eastAsiaTheme="minorEastAsia" w:cstheme="minorEastAsia"/>
                <w:color w:val="auto"/>
                <w:kern w:val="0"/>
                <w:sz w:val="24"/>
                <w:highlight w:val="none"/>
              </w:rPr>
              <w:t>验收合格的相关证明</w:t>
            </w:r>
            <w:r>
              <w:rPr>
                <w:rFonts w:hint="eastAsia" w:asciiTheme="minorEastAsia" w:hAnsiTheme="minorEastAsia" w:eastAsiaTheme="minorEastAsia" w:cstheme="minorEastAsia"/>
                <w:color w:val="auto"/>
                <w:kern w:val="0"/>
                <w:sz w:val="24"/>
                <w:highlight w:val="none"/>
                <w:lang w:val="en-US" w:eastAsia="zh-CN"/>
              </w:rPr>
              <w:t>材料</w:t>
            </w:r>
            <w:r>
              <w:rPr>
                <w:rFonts w:hint="eastAsia" w:asciiTheme="minorEastAsia" w:hAnsiTheme="minorEastAsia" w:eastAsiaTheme="minorEastAsia" w:cstheme="minorEastAsia"/>
                <w:color w:val="auto"/>
                <w:kern w:val="0"/>
                <w:sz w:val="24"/>
                <w:highlight w:val="none"/>
              </w:rPr>
              <w:t>复印件。同一业主单位</w:t>
            </w:r>
            <w:r>
              <w:rPr>
                <w:rFonts w:hint="eastAsia" w:asciiTheme="minorEastAsia" w:hAnsiTheme="minorEastAsia" w:eastAsiaTheme="minorEastAsia" w:cstheme="minorEastAsia"/>
                <w:color w:val="auto"/>
                <w:kern w:val="0"/>
                <w:sz w:val="24"/>
                <w:highlight w:val="none"/>
                <w:lang w:eastAsia="zh-CN"/>
              </w:rPr>
              <w:t>的业绩</w:t>
            </w:r>
            <w:r>
              <w:rPr>
                <w:rFonts w:hint="eastAsia" w:asciiTheme="minorEastAsia" w:hAnsiTheme="minorEastAsia" w:eastAsiaTheme="minorEastAsia" w:cstheme="minorEastAsia"/>
                <w:color w:val="auto"/>
                <w:kern w:val="0"/>
                <w:sz w:val="24"/>
                <w:highlight w:val="none"/>
              </w:rPr>
              <w:t>证明只计算一次。未提供或提供不全</w:t>
            </w:r>
            <w:r>
              <w:rPr>
                <w:rFonts w:hint="eastAsia" w:asciiTheme="minorEastAsia" w:hAnsiTheme="minorEastAsia" w:eastAsiaTheme="minorEastAsia" w:cstheme="minorEastAsia"/>
                <w:color w:val="auto"/>
                <w:kern w:val="0"/>
                <w:sz w:val="24"/>
                <w:highlight w:val="none"/>
                <w:lang w:eastAsia="zh-CN"/>
              </w:rPr>
              <w:t>的</w:t>
            </w:r>
            <w:r>
              <w:rPr>
                <w:rFonts w:hint="eastAsia" w:asciiTheme="minorEastAsia" w:hAnsiTheme="minorEastAsia" w:eastAsiaTheme="minorEastAsia" w:cstheme="minorEastAsia"/>
                <w:color w:val="auto"/>
                <w:kern w:val="0"/>
                <w:sz w:val="24"/>
                <w:highlight w:val="none"/>
              </w:rPr>
              <w:t>不得分。</w:t>
            </w:r>
          </w:p>
          <w:p w14:paraId="29520280">
            <w:pPr>
              <w:keepNext w:val="0"/>
              <w:keepLines w:val="0"/>
              <w:pageBreakBefore w:val="0"/>
              <w:kinsoku/>
              <w:wordWrap/>
              <w:topLinePunct w:val="0"/>
              <w:bidi w:val="0"/>
              <w:snapToGrid/>
              <w:spacing w:line="240" w:lineRule="auto"/>
              <w:jc w:val="left"/>
              <w:rPr>
                <w:rFonts w:hint="default" w:ascii="宋体" w:hAnsi="Calibri" w:eastAsia="宋体" w:cs="宋体"/>
                <w:bCs/>
                <w:kern w:val="0"/>
                <w:sz w:val="24"/>
                <w:szCs w:val="20"/>
                <w:lang w:val="en-US" w:eastAsia="zh-CN" w:bidi="ar-SA"/>
              </w:rPr>
            </w:pPr>
            <w:r>
              <w:rPr>
                <w:rFonts w:hint="eastAsia" w:asciiTheme="minorEastAsia" w:hAnsiTheme="minorEastAsia" w:eastAsiaTheme="minorEastAsia" w:cstheme="minorEastAsia"/>
                <w:color w:val="auto"/>
                <w:kern w:val="0"/>
                <w:sz w:val="24"/>
                <w:highlight w:val="none"/>
              </w:rPr>
              <w:t>注：评委会将保留要求投标人提供原件予以核查的权利；评标过程中如发现填报不实，本项不得分；合同履行过程中发现本项有虚假者，取消其中标资格，并追究相应的法律责任和进行相应的赔偿。</w:t>
            </w:r>
          </w:p>
        </w:tc>
      </w:tr>
      <w:tr w14:paraId="60EF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17" w:type="pct"/>
            <w:noWrap/>
            <w:vAlign w:val="center"/>
          </w:tcPr>
          <w:p w14:paraId="353E7126">
            <w:pPr>
              <w:spacing w:line="360" w:lineRule="auto"/>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B3</w:t>
            </w:r>
          </w:p>
        </w:tc>
        <w:tc>
          <w:tcPr>
            <w:tcW w:w="440" w:type="pct"/>
            <w:noWrap/>
            <w:vAlign w:val="center"/>
          </w:tcPr>
          <w:p w14:paraId="1DA6D531">
            <w:pPr>
              <w:pStyle w:val="42"/>
              <w:keepNext w:val="0"/>
              <w:keepLines w:val="0"/>
              <w:pageBreakBefore w:val="0"/>
              <w:kinsoku/>
              <w:wordWrap/>
              <w:topLinePunct w:val="0"/>
              <w:bidi w:val="0"/>
              <w:snapToGrid/>
              <w:spacing w:beforeAutospacing="0" w:afterAutospacing="0" w:line="400" w:lineRule="exact"/>
              <w:ind w:left="0" w:leftChars="0" w:right="0" w:rightChars="0"/>
              <w:jc w:val="center"/>
              <w:rPr>
                <w:rFonts w:hint="eastAsia" w:ascii="宋体" w:hAnsi="宋体" w:eastAsia="宋体" w:cs="宋体"/>
                <w:kern w:val="0"/>
                <w:sz w:val="24"/>
                <w:szCs w:val="24"/>
                <w:lang w:val="en-US" w:eastAsia="zh-CN" w:bidi="ar-SA"/>
              </w:rPr>
            </w:pPr>
            <w:r>
              <w:rPr>
                <w:rFonts w:hint="eastAsia" w:asciiTheme="minorEastAsia" w:hAnsiTheme="minorEastAsia" w:eastAsiaTheme="minorEastAsia" w:cstheme="minorEastAsia"/>
                <w:color w:val="auto"/>
                <w:kern w:val="0"/>
                <w:sz w:val="24"/>
                <w:highlight w:val="none"/>
              </w:rPr>
              <w:t>满意度</w:t>
            </w:r>
          </w:p>
        </w:tc>
        <w:tc>
          <w:tcPr>
            <w:tcW w:w="313" w:type="pct"/>
            <w:noWrap/>
            <w:vAlign w:val="center"/>
          </w:tcPr>
          <w:p w14:paraId="018353D6">
            <w:pPr>
              <w:pStyle w:val="42"/>
              <w:keepNext w:val="0"/>
              <w:keepLines w:val="0"/>
              <w:pageBreakBefore w:val="0"/>
              <w:kinsoku/>
              <w:wordWrap/>
              <w:topLinePunct w:val="0"/>
              <w:bidi w:val="0"/>
              <w:snapToGrid/>
              <w:spacing w:beforeAutospacing="0" w:afterAutospacing="0" w:line="400" w:lineRule="exact"/>
              <w:ind w:left="0" w:leftChars="0" w:right="0" w:rightChars="0"/>
              <w:jc w:val="center"/>
              <w:rPr>
                <w:rFonts w:hint="eastAsia" w:ascii="宋体" w:hAnsi="宋体" w:eastAsia="宋体" w:cs="宋体"/>
                <w:kern w:val="0"/>
                <w:sz w:val="24"/>
                <w:szCs w:val="24"/>
                <w:lang w:val="en-US" w:eastAsia="zh-CN" w:bidi="ar-SA"/>
              </w:rPr>
            </w:pPr>
            <w:r>
              <w:rPr>
                <w:rFonts w:hint="eastAsia" w:asciiTheme="minorEastAsia" w:hAnsiTheme="minorEastAsia" w:eastAsiaTheme="minorEastAsia" w:cstheme="minorEastAsia"/>
                <w:bCs/>
                <w:color w:val="auto"/>
                <w:sz w:val="24"/>
                <w:szCs w:val="24"/>
                <w:highlight w:val="none"/>
                <w:lang w:val="en-US" w:eastAsia="zh-CN"/>
              </w:rPr>
              <w:t>3</w:t>
            </w:r>
          </w:p>
        </w:tc>
        <w:tc>
          <w:tcPr>
            <w:tcW w:w="3928" w:type="pct"/>
            <w:noWrap/>
            <w:vAlign w:val="center"/>
          </w:tcPr>
          <w:p w14:paraId="3CB009EC">
            <w:pPr>
              <w:pStyle w:val="42"/>
              <w:keepNext w:val="0"/>
              <w:keepLines w:val="0"/>
              <w:pageBreakBefore w:val="0"/>
              <w:kinsoku/>
              <w:wordWrap/>
              <w:topLinePunct w:val="0"/>
              <w:bidi w:val="0"/>
              <w:snapToGrid/>
              <w:spacing w:beforeAutospacing="0" w:afterAutospacing="0" w:line="400" w:lineRule="exact"/>
              <w:ind w:left="0" w:leftChars="0" w:right="0" w:rightChars="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根据投标人提供的自20</w:t>
            </w:r>
            <w:r>
              <w:rPr>
                <w:rFonts w:hint="eastAsia" w:asciiTheme="minorEastAsia" w:hAnsiTheme="minorEastAsia" w:eastAsiaTheme="minorEastAsia" w:cstheme="minorEastAsia"/>
                <w:color w:val="auto"/>
                <w:kern w:val="0"/>
                <w:sz w:val="24"/>
                <w:highlight w:val="none"/>
                <w:lang w:val="en-US" w:eastAsia="zh-CN"/>
              </w:rPr>
              <w:t>21</w:t>
            </w:r>
            <w:r>
              <w:rPr>
                <w:rFonts w:hint="eastAsia" w:asciiTheme="minorEastAsia" w:hAnsiTheme="minorEastAsia" w:eastAsiaTheme="minorEastAsia" w:cstheme="minorEastAsia"/>
                <w:color w:val="auto"/>
                <w:kern w:val="0"/>
                <w:sz w:val="24"/>
                <w:highlight w:val="none"/>
              </w:rPr>
              <w:t>年1月1日起至本项目投标截止时间止（以合同签订日期为准），由投标人</w:t>
            </w:r>
            <w:r>
              <w:rPr>
                <w:rFonts w:hint="eastAsia" w:asciiTheme="minorEastAsia" w:hAnsiTheme="minorEastAsia" w:eastAsiaTheme="minorEastAsia" w:cstheme="minorEastAsia"/>
                <w:color w:val="auto"/>
                <w:kern w:val="0"/>
                <w:sz w:val="24"/>
                <w:highlight w:val="none"/>
                <w:lang w:eastAsia="zh-CN"/>
              </w:rPr>
              <w:t>独立</w:t>
            </w:r>
            <w:r>
              <w:rPr>
                <w:rFonts w:hint="eastAsia" w:asciiTheme="minorEastAsia" w:hAnsiTheme="minorEastAsia" w:eastAsiaTheme="minorEastAsia" w:cstheme="minorEastAsia"/>
                <w:color w:val="auto"/>
                <w:kern w:val="0"/>
                <w:sz w:val="24"/>
                <w:highlight w:val="none"/>
              </w:rPr>
              <w:t>完成的与本次同类型</w:t>
            </w:r>
            <w:r>
              <w:rPr>
                <w:rFonts w:hint="eastAsia" w:asciiTheme="minorEastAsia" w:hAnsiTheme="minorEastAsia" w:eastAsiaTheme="minorEastAsia" w:cstheme="minorEastAsia"/>
                <w:color w:val="auto"/>
                <w:kern w:val="0"/>
                <w:sz w:val="24"/>
                <w:highlight w:val="none"/>
                <w:lang w:val="en-US" w:eastAsia="zh-CN"/>
              </w:rPr>
              <w:t>项目（同类型范围是指至少包含食堂经营服务）</w:t>
            </w:r>
            <w:r>
              <w:rPr>
                <w:rFonts w:hint="eastAsia" w:asciiTheme="minorEastAsia" w:hAnsiTheme="minorEastAsia" w:eastAsiaTheme="minorEastAsia" w:cstheme="minorEastAsia"/>
                <w:color w:val="auto"/>
                <w:kern w:val="0"/>
                <w:sz w:val="24"/>
                <w:highlight w:val="none"/>
              </w:rPr>
              <w:t>业主满意度评价情况进行评分，每提供一份服务满意度评价为满意</w:t>
            </w:r>
            <w:r>
              <w:rPr>
                <w:rFonts w:hint="eastAsia" w:asciiTheme="minorEastAsia" w:hAnsiTheme="minorEastAsia" w:eastAsiaTheme="minorEastAsia" w:cstheme="minorEastAsia"/>
                <w:color w:val="auto"/>
                <w:kern w:val="0"/>
                <w:sz w:val="24"/>
                <w:highlight w:val="none"/>
                <w:lang w:val="en-US" w:eastAsia="zh-CN"/>
              </w:rPr>
              <w:t>的</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或好或优或同等评价</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证明材料的得1分,满分3分。</w:t>
            </w:r>
          </w:p>
          <w:p w14:paraId="0B1F43E4">
            <w:pPr>
              <w:pStyle w:val="42"/>
              <w:keepNext w:val="0"/>
              <w:keepLines w:val="0"/>
              <w:pageBreakBefore w:val="0"/>
              <w:kinsoku/>
              <w:wordWrap/>
              <w:topLinePunct w:val="0"/>
              <w:bidi w:val="0"/>
              <w:snapToGrid/>
              <w:spacing w:beforeAutospacing="0" w:afterAutospacing="0" w:line="400" w:lineRule="exact"/>
              <w:ind w:left="0" w:leftChars="0" w:right="0" w:rightChars="0"/>
              <w:rPr>
                <w:rFonts w:hint="eastAsia" w:ascii="宋体" w:hAnsi="宋体" w:eastAsia="宋体" w:cs="宋体"/>
                <w:kern w:val="0"/>
                <w:sz w:val="24"/>
                <w:szCs w:val="24"/>
                <w:lang w:val="en-US" w:eastAsia="zh-CN" w:bidi="ar-SA"/>
              </w:rPr>
            </w:pPr>
            <w:r>
              <w:rPr>
                <w:rFonts w:hint="eastAsia" w:asciiTheme="minorEastAsia" w:hAnsiTheme="minorEastAsia" w:eastAsiaTheme="minorEastAsia" w:cstheme="minorEastAsia"/>
                <w:color w:val="auto"/>
                <w:kern w:val="0"/>
                <w:sz w:val="24"/>
                <w:highlight w:val="none"/>
              </w:rPr>
              <w:t>须提供</w:t>
            </w:r>
            <w:r>
              <w:rPr>
                <w:rFonts w:hint="eastAsia" w:asciiTheme="minorEastAsia" w:hAnsiTheme="minorEastAsia" w:eastAsiaTheme="minorEastAsia" w:cstheme="minorEastAsia"/>
                <w:color w:val="auto"/>
                <w:kern w:val="0"/>
                <w:sz w:val="24"/>
                <w:highlight w:val="none"/>
                <w:lang w:val="en-US" w:eastAsia="zh-CN"/>
              </w:rPr>
              <w:t>双方签订的</w:t>
            </w:r>
            <w:r>
              <w:rPr>
                <w:rFonts w:hint="eastAsia" w:asciiTheme="minorEastAsia" w:hAnsiTheme="minorEastAsia" w:eastAsiaTheme="minorEastAsia" w:cstheme="minorEastAsia"/>
                <w:color w:val="auto"/>
                <w:kern w:val="0"/>
                <w:sz w:val="24"/>
                <w:highlight w:val="none"/>
              </w:rPr>
              <w:t>合同复印件及</w:t>
            </w:r>
            <w:r>
              <w:rPr>
                <w:rFonts w:hint="eastAsia" w:asciiTheme="minorEastAsia" w:hAnsiTheme="minorEastAsia" w:eastAsiaTheme="minorEastAsia" w:cstheme="minorEastAsia"/>
                <w:color w:val="auto"/>
                <w:kern w:val="0"/>
                <w:sz w:val="24"/>
                <w:highlight w:val="none"/>
                <w:lang w:val="en-US" w:eastAsia="zh-CN"/>
              </w:rPr>
              <w:t>加盖业主公章的</w:t>
            </w:r>
            <w:r>
              <w:rPr>
                <w:rFonts w:hint="eastAsia" w:asciiTheme="minorEastAsia" w:hAnsiTheme="minorEastAsia" w:eastAsiaTheme="minorEastAsia" w:cstheme="minorEastAsia"/>
                <w:color w:val="auto"/>
                <w:kern w:val="0"/>
                <w:sz w:val="24"/>
                <w:highlight w:val="none"/>
              </w:rPr>
              <w:t>满意度评价</w:t>
            </w:r>
            <w:r>
              <w:rPr>
                <w:rFonts w:hint="eastAsia" w:asciiTheme="minorEastAsia" w:hAnsiTheme="minorEastAsia" w:eastAsiaTheme="minorEastAsia" w:cstheme="minorEastAsia"/>
                <w:color w:val="auto"/>
                <w:kern w:val="0"/>
                <w:sz w:val="24"/>
                <w:highlight w:val="none"/>
                <w:lang w:val="en-US" w:eastAsia="zh-CN"/>
              </w:rPr>
              <w:t>证明</w:t>
            </w:r>
            <w:r>
              <w:rPr>
                <w:rFonts w:hint="eastAsia" w:asciiTheme="minorEastAsia" w:hAnsiTheme="minorEastAsia" w:eastAsiaTheme="minorEastAsia" w:cstheme="minorEastAsia"/>
                <w:color w:val="auto"/>
                <w:kern w:val="0"/>
                <w:sz w:val="24"/>
                <w:highlight w:val="none"/>
              </w:rPr>
              <w:t>，否则不得分。</w:t>
            </w:r>
            <w:r>
              <w:rPr>
                <w:rFonts w:hint="eastAsia" w:asciiTheme="minorEastAsia" w:hAnsiTheme="minorEastAsia" w:cstheme="minorEastAsia"/>
                <w:color w:val="auto"/>
                <w:kern w:val="0"/>
                <w:sz w:val="24"/>
                <w:highlight w:val="none"/>
                <w:lang w:eastAsia="zh-CN"/>
              </w:rPr>
              <w:t>注：</w:t>
            </w:r>
            <w:r>
              <w:rPr>
                <w:rFonts w:hint="eastAsia" w:asciiTheme="minorEastAsia" w:hAnsiTheme="minorEastAsia" w:eastAsiaTheme="minorEastAsia" w:cstheme="minorEastAsia"/>
                <w:color w:val="auto"/>
                <w:kern w:val="0"/>
                <w:sz w:val="24"/>
                <w:highlight w:val="none"/>
              </w:rPr>
              <w:t>同一业主单位出具的满意度证明只计算一次</w:t>
            </w:r>
            <w:r>
              <w:rPr>
                <w:rFonts w:hint="eastAsia" w:asciiTheme="minorEastAsia" w:hAnsiTheme="minorEastAsia" w:eastAsiaTheme="minorEastAsia" w:cstheme="minorEastAsia"/>
                <w:b w:val="0"/>
                <w:bCs w:val="0"/>
                <w:color w:val="auto"/>
                <w:kern w:val="0"/>
                <w:sz w:val="24"/>
                <w:highlight w:val="none"/>
              </w:rPr>
              <w:t>。本项与</w:t>
            </w:r>
            <w:r>
              <w:rPr>
                <w:rFonts w:hint="eastAsia" w:asciiTheme="minorEastAsia" w:hAnsiTheme="minorEastAsia" w:cstheme="minorEastAsia"/>
                <w:b w:val="0"/>
                <w:bCs w:val="0"/>
                <w:color w:val="auto"/>
                <w:kern w:val="0"/>
                <w:sz w:val="24"/>
                <w:highlight w:val="none"/>
                <w:lang w:val="en-US" w:eastAsia="zh-CN"/>
              </w:rPr>
              <w:t>B2</w:t>
            </w:r>
            <w:r>
              <w:rPr>
                <w:rFonts w:hint="eastAsia" w:asciiTheme="minorEastAsia" w:hAnsiTheme="minorEastAsia" w:eastAsiaTheme="minorEastAsia" w:cstheme="minorEastAsia"/>
                <w:b w:val="0"/>
                <w:bCs w:val="0"/>
                <w:color w:val="auto"/>
                <w:kern w:val="0"/>
                <w:sz w:val="24"/>
                <w:highlight w:val="none"/>
              </w:rPr>
              <w:t>“业绩”评分项</w:t>
            </w:r>
            <w:r>
              <w:rPr>
                <w:rFonts w:hint="eastAsia" w:asciiTheme="minorEastAsia" w:hAnsiTheme="minorEastAsia" w:cstheme="minorEastAsia"/>
                <w:b w:val="0"/>
                <w:bCs w:val="0"/>
                <w:color w:val="auto"/>
                <w:kern w:val="0"/>
                <w:sz w:val="24"/>
                <w:highlight w:val="none"/>
                <w:lang w:eastAsia="zh-CN"/>
              </w:rPr>
              <w:t>为</w:t>
            </w:r>
            <w:r>
              <w:rPr>
                <w:rFonts w:hint="eastAsia" w:asciiTheme="minorEastAsia" w:hAnsiTheme="minorEastAsia" w:eastAsiaTheme="minorEastAsia" w:cstheme="minorEastAsia"/>
                <w:b w:val="0"/>
                <w:bCs w:val="0"/>
                <w:color w:val="auto"/>
                <w:kern w:val="0"/>
                <w:sz w:val="24"/>
                <w:highlight w:val="none"/>
              </w:rPr>
              <w:t>同一项目的不重复计分。评委会将保留要求投标人提供原件予以核查的权利；评标过程中如发现填报不实，本项不得分；合同履行过程中发现本项有虚假者，取消其中标资格，并追究相应的法律责任和进行相应的赔偿。</w:t>
            </w:r>
          </w:p>
        </w:tc>
      </w:tr>
      <w:tr w14:paraId="1C851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17" w:type="pct"/>
            <w:noWrap/>
            <w:vAlign w:val="center"/>
          </w:tcPr>
          <w:p w14:paraId="5AF66833">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B4</w:t>
            </w:r>
          </w:p>
        </w:tc>
        <w:tc>
          <w:tcPr>
            <w:tcW w:w="440" w:type="pct"/>
            <w:noWrap/>
            <w:vAlign w:val="center"/>
          </w:tcPr>
          <w:p w14:paraId="4392F5FB">
            <w:pPr>
              <w:keepNext w:val="0"/>
              <w:keepLines w:val="0"/>
              <w:pageBreakBefore w:val="0"/>
              <w:kinsoku/>
              <w:wordWrap/>
              <w:topLinePunct w:val="0"/>
              <w:bidi w:val="0"/>
              <w:snapToGrid/>
              <w:spacing w:line="400" w:lineRule="exact"/>
              <w:jc w:val="center"/>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 w:val="24"/>
                <w:highlight w:val="none"/>
              </w:rPr>
              <w:t>无重大食品安全事故承诺</w:t>
            </w:r>
          </w:p>
        </w:tc>
        <w:tc>
          <w:tcPr>
            <w:tcW w:w="313" w:type="pct"/>
            <w:noWrap/>
            <w:vAlign w:val="center"/>
          </w:tcPr>
          <w:p w14:paraId="4D41DE72">
            <w:pPr>
              <w:keepNext w:val="0"/>
              <w:keepLines w:val="0"/>
              <w:pageBreakBefore w:val="0"/>
              <w:kinsoku/>
              <w:wordWrap/>
              <w:topLinePunct w:val="0"/>
              <w:bidi w:val="0"/>
              <w:snapToGrid/>
              <w:spacing w:line="400" w:lineRule="exact"/>
              <w:jc w:val="center"/>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 w:val="24"/>
                <w:highlight w:val="none"/>
                <w:lang w:val="en-US" w:eastAsia="zh-CN"/>
              </w:rPr>
              <w:t>3</w:t>
            </w:r>
          </w:p>
        </w:tc>
        <w:tc>
          <w:tcPr>
            <w:tcW w:w="3928" w:type="pct"/>
            <w:noWrap/>
            <w:vAlign w:val="center"/>
          </w:tcPr>
          <w:p w14:paraId="01250F5E">
            <w:pPr>
              <w:keepNext w:val="0"/>
              <w:keepLines w:val="0"/>
              <w:pageBreakBefore w:val="0"/>
              <w:kinsoku/>
              <w:wordWrap/>
              <w:topLinePunct w:val="0"/>
              <w:bidi w:val="0"/>
              <w:snapToGrid/>
              <w:spacing w:line="400" w:lineRule="exact"/>
              <w:jc w:val="left"/>
              <w:rPr>
                <w:rFonts w:hint="eastAsia" w:ascii="宋体" w:hAnsi="宋体" w:eastAsia="宋体" w:cs="宋体"/>
                <w:color w:val="auto"/>
                <w:kern w:val="0"/>
                <w:sz w:val="24"/>
                <w:szCs w:val="24"/>
                <w:lang w:val="en-US" w:eastAsia="zh-CN" w:bidi="ar-SA"/>
              </w:rPr>
            </w:pPr>
            <w:r>
              <w:rPr>
                <w:rFonts w:hint="eastAsia" w:asciiTheme="minorEastAsia" w:hAnsiTheme="minorEastAsia" w:eastAsiaTheme="minorEastAsia" w:cstheme="minorEastAsia"/>
                <w:color w:val="auto"/>
                <w:kern w:val="0"/>
                <w:sz w:val="24"/>
                <w:highlight w:val="none"/>
              </w:rPr>
              <w:t>根据</w:t>
            </w:r>
            <w:r>
              <w:rPr>
                <w:rFonts w:hint="eastAsia" w:asciiTheme="minorEastAsia" w:hAnsiTheme="minorEastAsia" w:eastAsiaTheme="minorEastAsia" w:cstheme="minorEastAsia"/>
                <w:color w:val="auto"/>
                <w:kern w:val="0"/>
                <w:sz w:val="24"/>
                <w:highlight w:val="none"/>
                <w:lang w:val="en-US" w:eastAsia="zh-CN"/>
              </w:rPr>
              <w:t>投标人</w:t>
            </w:r>
            <w:r>
              <w:rPr>
                <w:rFonts w:hint="eastAsia" w:asciiTheme="minorEastAsia" w:hAnsiTheme="minorEastAsia" w:eastAsiaTheme="minorEastAsia" w:cstheme="minorEastAsia"/>
                <w:color w:val="auto"/>
                <w:kern w:val="0"/>
                <w:sz w:val="24"/>
                <w:highlight w:val="none"/>
              </w:rPr>
              <w:t>提供</w:t>
            </w:r>
            <w:r>
              <w:rPr>
                <w:rFonts w:hint="eastAsia" w:asciiTheme="minorEastAsia" w:hAnsiTheme="minorEastAsia" w:eastAsiaTheme="minorEastAsia" w:cstheme="minorEastAsia"/>
                <w:color w:val="auto"/>
                <w:kern w:val="0"/>
                <w:sz w:val="24"/>
                <w:highlight w:val="none"/>
                <w:lang w:val="en-US" w:eastAsia="zh-CN"/>
              </w:rPr>
              <w:t>承诺，承诺</w:t>
            </w:r>
            <w:r>
              <w:rPr>
                <w:rFonts w:hint="eastAsia" w:asciiTheme="minorEastAsia" w:hAnsiTheme="minorEastAsia" w:eastAsiaTheme="minorEastAsia" w:cstheme="minorEastAsia"/>
                <w:color w:val="auto"/>
                <w:kern w:val="0"/>
                <w:sz w:val="24"/>
                <w:highlight w:val="none"/>
                <w:lang w:eastAsia="zh-CN"/>
              </w:rPr>
              <w:t>自</w:t>
            </w:r>
            <w:r>
              <w:rPr>
                <w:rFonts w:hint="eastAsia" w:asciiTheme="minorEastAsia" w:hAnsiTheme="minorEastAsia" w:eastAsiaTheme="minorEastAsia" w:cstheme="minorEastAsia"/>
                <w:color w:val="auto"/>
                <w:kern w:val="0"/>
                <w:sz w:val="24"/>
                <w:highlight w:val="none"/>
              </w:rPr>
              <w:t>20</w:t>
            </w:r>
            <w:r>
              <w:rPr>
                <w:rFonts w:hint="eastAsia" w:asciiTheme="minorEastAsia" w:hAnsiTheme="minorEastAsia" w:eastAsiaTheme="minorEastAsia" w:cstheme="minorEastAsia"/>
                <w:color w:val="auto"/>
                <w:kern w:val="0"/>
                <w:sz w:val="24"/>
                <w:highlight w:val="none"/>
                <w:lang w:val="en-US" w:eastAsia="zh-CN"/>
              </w:rPr>
              <w:t>21</w:t>
            </w:r>
            <w:r>
              <w:rPr>
                <w:rFonts w:hint="eastAsia" w:asciiTheme="minorEastAsia" w:hAnsiTheme="minorEastAsia" w:eastAsiaTheme="minorEastAsia" w:cstheme="minorEastAsia"/>
                <w:color w:val="auto"/>
                <w:kern w:val="0"/>
                <w:sz w:val="24"/>
                <w:highlight w:val="none"/>
              </w:rPr>
              <w:t>年1月1日起至本项目投标截止日期</w:t>
            </w:r>
            <w:r>
              <w:rPr>
                <w:rFonts w:hint="eastAsia" w:asciiTheme="minorEastAsia" w:hAnsiTheme="minorEastAsia" w:eastAsiaTheme="minorEastAsia" w:cstheme="minorEastAsia"/>
                <w:color w:val="auto"/>
                <w:kern w:val="0"/>
                <w:sz w:val="24"/>
                <w:highlight w:val="none"/>
                <w:lang w:val="en-US" w:eastAsia="zh-CN"/>
              </w:rPr>
              <w:t>止</w:t>
            </w:r>
            <w:r>
              <w:rPr>
                <w:rFonts w:hint="eastAsia" w:asciiTheme="minorEastAsia" w:hAnsiTheme="minorEastAsia" w:eastAsiaTheme="minorEastAsia" w:cstheme="minorEastAsia"/>
                <w:color w:val="auto"/>
                <w:kern w:val="0"/>
                <w:sz w:val="24"/>
                <w:highlight w:val="none"/>
              </w:rPr>
              <w:t>，投标人的公司或</w:t>
            </w:r>
            <w:r>
              <w:rPr>
                <w:rFonts w:hint="eastAsia" w:asciiTheme="minorEastAsia" w:hAnsiTheme="minorEastAsia" w:eastAsiaTheme="minorEastAsia" w:cstheme="minorEastAsia"/>
                <w:color w:val="auto"/>
                <w:kern w:val="0"/>
                <w:sz w:val="24"/>
                <w:highlight w:val="none"/>
                <w:lang w:val="en-US" w:eastAsia="zh-CN"/>
              </w:rPr>
              <w:t>其</w:t>
            </w:r>
            <w:r>
              <w:rPr>
                <w:rFonts w:hint="eastAsia" w:asciiTheme="minorEastAsia" w:hAnsiTheme="minorEastAsia" w:eastAsiaTheme="minorEastAsia" w:cstheme="minorEastAsia"/>
                <w:color w:val="auto"/>
                <w:kern w:val="0"/>
                <w:sz w:val="24"/>
                <w:highlight w:val="none"/>
              </w:rPr>
              <w:t>分公司或</w:t>
            </w:r>
            <w:r>
              <w:rPr>
                <w:rFonts w:hint="eastAsia" w:asciiTheme="minorEastAsia" w:hAnsiTheme="minorEastAsia" w:eastAsiaTheme="minorEastAsia" w:cstheme="minorEastAsia"/>
                <w:color w:val="auto"/>
                <w:kern w:val="0"/>
                <w:sz w:val="24"/>
                <w:highlight w:val="none"/>
                <w:lang w:val="en-US" w:eastAsia="zh-CN"/>
              </w:rPr>
              <w:t>其</w:t>
            </w:r>
            <w:r>
              <w:rPr>
                <w:rFonts w:hint="eastAsia" w:asciiTheme="minorEastAsia" w:hAnsiTheme="minorEastAsia" w:eastAsiaTheme="minorEastAsia" w:cstheme="minorEastAsia"/>
                <w:color w:val="auto"/>
                <w:kern w:val="0"/>
                <w:sz w:val="24"/>
                <w:highlight w:val="none"/>
              </w:rPr>
              <w:t>分店，均未因商品质量、服务等问题被市场监督管理部门或其他国家行政机关查处或媒体通报的得</w:t>
            </w: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rPr>
              <w:t>分。投标人</w:t>
            </w:r>
            <w:r>
              <w:rPr>
                <w:rFonts w:hint="eastAsia" w:asciiTheme="minorEastAsia" w:hAnsiTheme="minorEastAsia" w:eastAsiaTheme="minorEastAsia" w:cstheme="minorEastAsia"/>
                <w:color w:val="auto"/>
                <w:kern w:val="0"/>
                <w:sz w:val="24"/>
                <w:highlight w:val="none"/>
                <w:lang w:val="en-US" w:eastAsia="zh-CN"/>
              </w:rPr>
              <w:t>须</w:t>
            </w:r>
            <w:r>
              <w:rPr>
                <w:rFonts w:hint="eastAsia" w:asciiTheme="minorEastAsia" w:hAnsiTheme="minorEastAsia" w:eastAsiaTheme="minorEastAsia" w:cstheme="minorEastAsia"/>
                <w:color w:val="auto"/>
                <w:kern w:val="0"/>
                <w:sz w:val="24"/>
                <w:highlight w:val="none"/>
              </w:rPr>
              <w:t>提供承诺函</w:t>
            </w:r>
            <w:r>
              <w:rPr>
                <w:rFonts w:hint="eastAsia" w:asciiTheme="minorEastAsia" w:hAnsiTheme="minorEastAsia" w:eastAsiaTheme="minorEastAsia" w:cstheme="minorEastAsia"/>
                <w:color w:val="auto"/>
                <w:kern w:val="0"/>
                <w:sz w:val="24"/>
                <w:highlight w:val="none"/>
                <w:lang w:val="en-US" w:eastAsia="zh-CN"/>
              </w:rPr>
              <w:t>（格式自拟）</w:t>
            </w:r>
            <w:r>
              <w:rPr>
                <w:rFonts w:hint="eastAsia" w:asciiTheme="minorEastAsia" w:hAnsiTheme="minorEastAsia" w:eastAsiaTheme="minorEastAsia" w:cstheme="minorEastAsia"/>
                <w:color w:val="auto"/>
                <w:kern w:val="0"/>
                <w:sz w:val="24"/>
                <w:highlight w:val="none"/>
              </w:rPr>
              <w:t>，否则不得分。注：不含</w:t>
            </w:r>
            <w:r>
              <w:rPr>
                <w:rFonts w:hint="eastAsia" w:asciiTheme="minorEastAsia" w:hAnsiTheme="minorEastAsia" w:eastAsiaTheme="minorEastAsia" w:cstheme="minorEastAsia"/>
                <w:color w:val="auto"/>
                <w:kern w:val="0"/>
                <w:sz w:val="24"/>
                <w:highlight w:val="none"/>
                <w:lang w:eastAsia="zh-CN"/>
              </w:rPr>
              <w:t>招标文件前述规定的</w:t>
            </w:r>
            <w:r>
              <w:rPr>
                <w:rFonts w:hint="eastAsia" w:asciiTheme="minorEastAsia" w:hAnsiTheme="minorEastAsia" w:eastAsiaTheme="minorEastAsia" w:cstheme="minorEastAsia"/>
                <w:color w:val="auto"/>
                <w:kern w:val="0"/>
                <w:sz w:val="24"/>
                <w:highlight w:val="none"/>
              </w:rPr>
              <w:t>资格条件情形</w:t>
            </w:r>
            <w:r>
              <w:rPr>
                <w:rFonts w:hint="eastAsia" w:asciiTheme="minorEastAsia" w:hAnsiTheme="minorEastAsia" w:eastAsiaTheme="minorEastAsia" w:cstheme="minorEastAsia"/>
                <w:color w:val="auto"/>
                <w:kern w:val="0"/>
                <w:sz w:val="24"/>
                <w:highlight w:val="none"/>
                <w:lang w:eastAsia="zh-CN"/>
              </w:rPr>
              <w:t>。</w:t>
            </w:r>
          </w:p>
        </w:tc>
      </w:tr>
      <w:tr w14:paraId="5F0D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tcPr>
          <w:p w14:paraId="0B0083BA">
            <w:pPr>
              <w:spacing w:line="360" w:lineRule="auto"/>
              <w:rPr>
                <w:rFonts w:hint="default" w:ascii="宋体" w:eastAsia="宋体"/>
                <w:bCs/>
                <w:sz w:val="24"/>
                <w:lang w:val="en-US" w:eastAsia="zh-CN"/>
              </w:rPr>
            </w:pPr>
            <w:r>
              <w:rPr>
                <w:rFonts w:hint="eastAsia" w:ascii="宋体" w:hAnsi="宋体"/>
                <w:sz w:val="24"/>
              </w:rPr>
              <w:t>各投标人的商务部分得分</w:t>
            </w:r>
            <w:r>
              <w:rPr>
                <w:rFonts w:ascii="宋体" w:hAnsi="宋体"/>
                <w:sz w:val="24"/>
              </w:rPr>
              <w:t>B=B1+B2+B3</w:t>
            </w:r>
            <w:r>
              <w:rPr>
                <w:rFonts w:hint="eastAsia" w:ascii="宋体" w:hAnsi="宋体"/>
                <w:sz w:val="24"/>
                <w:lang w:val="en-US" w:eastAsia="zh-CN"/>
              </w:rPr>
              <w:t>+B4</w:t>
            </w:r>
          </w:p>
        </w:tc>
      </w:tr>
      <w:tr w14:paraId="7A55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tcPr>
          <w:p w14:paraId="22E1021E">
            <w:pPr>
              <w:spacing w:line="360" w:lineRule="auto"/>
              <w:rPr>
                <w:rFonts w:ascii="宋体"/>
                <w:sz w:val="24"/>
              </w:rPr>
            </w:pPr>
            <w:r>
              <w:rPr>
                <w:rFonts w:hint="eastAsia" w:ascii="宋体" w:hAnsi="宋体"/>
                <w:b/>
                <w:spacing w:val="-2"/>
                <w:sz w:val="24"/>
                <w:shd w:val="pct10" w:color="auto" w:fill="FFFFFF"/>
              </w:rPr>
              <w:t>第二阶段报价部分的评标：</w:t>
            </w:r>
          </w:p>
        </w:tc>
      </w:tr>
      <w:tr w14:paraId="7CFB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7" w:type="pct"/>
            <w:noWrap/>
            <w:vAlign w:val="center"/>
          </w:tcPr>
          <w:p w14:paraId="3F68A19F">
            <w:pPr>
              <w:spacing w:line="360" w:lineRule="auto"/>
              <w:jc w:val="center"/>
              <w:rPr>
                <w:rFonts w:ascii="宋体"/>
                <w:b/>
                <w:sz w:val="24"/>
              </w:rPr>
            </w:pPr>
            <w:r>
              <w:rPr>
                <w:rFonts w:ascii="宋体" w:hAnsi="宋体"/>
                <w:b/>
                <w:sz w:val="24"/>
              </w:rPr>
              <w:t>C</w:t>
            </w:r>
          </w:p>
        </w:tc>
        <w:tc>
          <w:tcPr>
            <w:tcW w:w="440" w:type="pct"/>
            <w:noWrap/>
            <w:vAlign w:val="center"/>
          </w:tcPr>
          <w:p w14:paraId="4C5809D0">
            <w:pPr>
              <w:spacing w:line="360" w:lineRule="auto"/>
              <w:jc w:val="center"/>
              <w:rPr>
                <w:rFonts w:ascii="宋体" w:cs="宋体"/>
                <w:b/>
                <w:sz w:val="24"/>
              </w:rPr>
            </w:pPr>
            <w:r>
              <w:rPr>
                <w:rFonts w:hint="eastAsia" w:ascii="宋体" w:hAnsi="宋体" w:cs="宋体"/>
                <w:b/>
                <w:sz w:val="24"/>
              </w:rPr>
              <w:t>报价部分评分（</w:t>
            </w:r>
            <w:r>
              <w:rPr>
                <w:rFonts w:ascii="宋体" w:hAnsi="宋体" w:cs="宋体"/>
                <w:b/>
                <w:sz w:val="24"/>
              </w:rPr>
              <w:t>C</w:t>
            </w:r>
            <w:r>
              <w:rPr>
                <w:rFonts w:hint="eastAsia" w:ascii="宋体" w:hAnsi="宋体" w:cs="宋体"/>
                <w:b/>
                <w:sz w:val="24"/>
              </w:rPr>
              <w:t>满分</w:t>
            </w:r>
            <w:r>
              <w:rPr>
                <w:rFonts w:hint="eastAsia" w:ascii="宋体" w:hAnsi="宋体" w:cs="宋体"/>
                <w:b/>
                <w:sz w:val="24"/>
                <w:lang w:val="en-US" w:eastAsia="zh-CN"/>
              </w:rPr>
              <w:t>2</w:t>
            </w:r>
            <w:r>
              <w:rPr>
                <w:rFonts w:ascii="宋体" w:hAnsi="宋体" w:cs="宋体"/>
                <w:b/>
                <w:sz w:val="24"/>
              </w:rPr>
              <w:t>0</w:t>
            </w:r>
            <w:r>
              <w:rPr>
                <w:rFonts w:hint="eastAsia" w:ascii="宋体" w:hAnsi="宋体" w:cs="宋体"/>
                <w:b/>
                <w:sz w:val="24"/>
              </w:rPr>
              <w:t>分）</w:t>
            </w:r>
          </w:p>
        </w:tc>
        <w:tc>
          <w:tcPr>
            <w:tcW w:w="313" w:type="pct"/>
            <w:noWrap/>
            <w:vAlign w:val="center"/>
          </w:tcPr>
          <w:p w14:paraId="169A754E">
            <w:pPr>
              <w:spacing w:line="360" w:lineRule="auto"/>
              <w:jc w:val="center"/>
              <w:rPr>
                <w:rFonts w:ascii="宋体" w:cs="宋体"/>
                <w:sz w:val="24"/>
              </w:rPr>
            </w:pPr>
            <w:r>
              <w:rPr>
                <w:rFonts w:hint="eastAsia" w:ascii="宋体" w:hAnsi="宋体" w:cs="宋体"/>
                <w:sz w:val="24"/>
                <w:lang w:val="en-US" w:eastAsia="zh-CN"/>
              </w:rPr>
              <w:t>2</w:t>
            </w:r>
            <w:r>
              <w:rPr>
                <w:rFonts w:ascii="宋体" w:hAnsi="宋体" w:cs="宋体"/>
                <w:sz w:val="24"/>
              </w:rPr>
              <w:t>0</w:t>
            </w:r>
            <w:r>
              <w:rPr>
                <w:rFonts w:hint="eastAsia" w:ascii="宋体" w:hAnsi="宋体" w:cs="宋体"/>
                <w:sz w:val="24"/>
              </w:rPr>
              <w:t>分</w:t>
            </w:r>
          </w:p>
        </w:tc>
        <w:tc>
          <w:tcPr>
            <w:tcW w:w="3928" w:type="pct"/>
            <w:noWrap/>
          </w:tcPr>
          <w:p w14:paraId="62703A90">
            <w:pPr>
              <w:widowControl w:val="0"/>
              <w:overflowPunct w:val="0"/>
              <w:autoSpaceDE w:val="0"/>
              <w:autoSpaceDN w:val="0"/>
              <w:adjustRightInd w:val="0"/>
              <w:spacing w:line="360" w:lineRule="auto"/>
              <w:jc w:val="both"/>
              <w:textAlignment w:val="baseline"/>
              <w:rPr>
                <w:rFonts w:ascii="宋体" w:hAnsi="Times New Roman" w:eastAsia="宋体" w:cs="宋体"/>
                <w:kern w:val="28"/>
                <w:sz w:val="24"/>
                <w:szCs w:val="24"/>
                <w:lang w:val="en-US" w:eastAsia="zh-CN" w:bidi="ar-SA"/>
              </w:rPr>
            </w:pPr>
            <w:r>
              <w:rPr>
                <w:rFonts w:hint="eastAsia" w:ascii="宋体" w:hAnsi="宋体" w:eastAsia="宋体" w:cs="宋体"/>
                <w:kern w:val="28"/>
                <w:sz w:val="24"/>
                <w:szCs w:val="24"/>
                <w:lang w:val="en-US" w:eastAsia="zh-CN" w:bidi="ar-SA"/>
              </w:rPr>
              <w:t>报价分计算公式</w:t>
            </w:r>
          </w:p>
          <w:p w14:paraId="53B0949C">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ascii="宋体" w:hAnsi="宋体" w:eastAsia="宋体" w:cs="宋体"/>
                <w:kern w:val="28"/>
                <w:sz w:val="24"/>
                <w:szCs w:val="24"/>
                <w:lang w:val="en-US" w:eastAsia="zh-CN" w:bidi="ar-SA"/>
              </w:rPr>
              <w:t>C=(</w:t>
            </w:r>
            <w:r>
              <w:rPr>
                <w:rFonts w:hint="eastAsia" w:ascii="宋体" w:hAnsi="宋体" w:eastAsia="宋体" w:cs="宋体"/>
                <w:kern w:val="28"/>
                <w:sz w:val="24"/>
                <w:szCs w:val="24"/>
                <w:lang w:val="en-US" w:eastAsia="zh-CN" w:bidi="ar-SA"/>
              </w:rPr>
              <w:t>评标基准价／有效投标报价</w:t>
            </w:r>
            <w:r>
              <w:rPr>
                <w:rFonts w:ascii="宋体" w:hAnsi="宋体" w:eastAsia="宋体" w:cs="宋体"/>
                <w:kern w:val="28"/>
                <w:sz w:val="24"/>
                <w:szCs w:val="24"/>
                <w:lang w:val="en-US" w:eastAsia="zh-CN" w:bidi="ar-SA"/>
              </w:rPr>
              <w:t>)</w:t>
            </w:r>
            <w:r>
              <w:rPr>
                <w:rFonts w:hint="eastAsia" w:ascii="宋体" w:hAnsi="宋体" w:eastAsia="宋体" w:cs="宋体"/>
                <w:kern w:val="28"/>
                <w:sz w:val="24"/>
                <w:szCs w:val="24"/>
                <w:lang w:val="en-US" w:eastAsia="zh-CN" w:bidi="ar-SA"/>
              </w:rPr>
              <w:t>×2</w:t>
            </w:r>
            <w:r>
              <w:rPr>
                <w:rFonts w:ascii="宋体" w:hAnsi="宋体" w:eastAsia="宋体" w:cs="宋体"/>
                <w:kern w:val="28"/>
                <w:sz w:val="24"/>
                <w:szCs w:val="24"/>
                <w:lang w:val="en-US" w:eastAsia="zh-CN" w:bidi="ar-SA"/>
              </w:rPr>
              <w:t>0</w:t>
            </w:r>
          </w:p>
          <w:p w14:paraId="31B547E2">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hint="eastAsia" w:ascii="宋体" w:hAnsi="宋体" w:eastAsia="宋体" w:cs="宋体"/>
                <w:kern w:val="28"/>
                <w:sz w:val="24"/>
                <w:szCs w:val="24"/>
                <w:lang w:val="en-US" w:eastAsia="zh-CN" w:bidi="ar-SA"/>
              </w:rPr>
              <w:t>由此算出各个通过报价审查的投标人报价部分得分</w:t>
            </w:r>
            <w:r>
              <w:rPr>
                <w:rFonts w:ascii="宋体" w:hAnsi="宋体" w:eastAsia="宋体" w:cs="宋体"/>
                <w:kern w:val="28"/>
                <w:sz w:val="24"/>
                <w:szCs w:val="24"/>
                <w:lang w:val="en-US" w:eastAsia="zh-CN" w:bidi="ar-SA"/>
              </w:rPr>
              <w:t>(</w:t>
            </w:r>
            <w:r>
              <w:rPr>
                <w:rFonts w:hint="eastAsia" w:ascii="宋体" w:hAnsi="宋体" w:eastAsia="宋体" w:cs="宋体"/>
                <w:kern w:val="28"/>
                <w:sz w:val="24"/>
                <w:szCs w:val="24"/>
                <w:lang w:val="en-US" w:eastAsia="zh-CN" w:bidi="ar-SA"/>
              </w:rPr>
              <w:t>计算分数时保留至小数点后两位，小数点后第三位四舍五入</w:t>
            </w:r>
            <w:r>
              <w:rPr>
                <w:rFonts w:ascii="宋体" w:hAnsi="宋体" w:eastAsia="宋体" w:cs="宋体"/>
                <w:kern w:val="28"/>
                <w:sz w:val="24"/>
                <w:szCs w:val="24"/>
                <w:lang w:val="en-US" w:eastAsia="zh-CN" w:bidi="ar-SA"/>
              </w:rPr>
              <w:t>)</w:t>
            </w:r>
            <w:r>
              <w:rPr>
                <w:rFonts w:hint="eastAsia" w:ascii="宋体" w:hAnsi="宋体" w:eastAsia="宋体" w:cs="宋体"/>
                <w:kern w:val="28"/>
                <w:sz w:val="24"/>
                <w:szCs w:val="24"/>
                <w:lang w:val="en-US" w:eastAsia="zh-CN" w:bidi="ar-SA"/>
              </w:rPr>
              <w:t>。</w:t>
            </w:r>
          </w:p>
          <w:p w14:paraId="1EF4A24E">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hint="eastAsia" w:ascii="宋体" w:hAnsi="宋体" w:eastAsia="宋体" w:cs="宋体"/>
                <w:kern w:val="28"/>
                <w:sz w:val="24"/>
                <w:szCs w:val="24"/>
                <w:lang w:val="en-US" w:eastAsia="zh-CN" w:bidi="ar-SA"/>
              </w:rPr>
              <w:t>注：</w:t>
            </w:r>
          </w:p>
          <w:p w14:paraId="72AEE117">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ascii="宋体" w:hAnsi="宋体" w:eastAsia="宋体" w:cs="宋体"/>
                <w:kern w:val="28"/>
                <w:sz w:val="24"/>
                <w:szCs w:val="24"/>
                <w:lang w:val="en-US" w:eastAsia="zh-CN" w:bidi="ar-SA"/>
              </w:rPr>
              <w:t>(1)C</w:t>
            </w:r>
            <w:r>
              <w:rPr>
                <w:rFonts w:hint="eastAsia" w:ascii="宋体" w:hAnsi="宋体" w:eastAsia="宋体" w:cs="宋体"/>
                <w:kern w:val="28"/>
                <w:sz w:val="24"/>
                <w:szCs w:val="24"/>
                <w:lang w:val="en-US" w:eastAsia="zh-CN" w:bidi="ar-SA"/>
              </w:rPr>
              <w:t>为各投标人报价部分得分；</w:t>
            </w:r>
          </w:p>
          <w:p w14:paraId="30BD3165">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ascii="宋体" w:hAnsi="宋体" w:eastAsia="宋体" w:cs="宋体"/>
                <w:kern w:val="28"/>
                <w:sz w:val="24"/>
                <w:szCs w:val="24"/>
                <w:lang w:val="en-US" w:eastAsia="zh-CN" w:bidi="ar-SA"/>
              </w:rPr>
              <w:t>(2)</w:t>
            </w:r>
            <w:r>
              <w:rPr>
                <w:rFonts w:hint="eastAsia" w:ascii="宋体" w:hAnsi="宋体" w:eastAsia="宋体" w:cs="宋体"/>
                <w:kern w:val="28"/>
                <w:sz w:val="24"/>
                <w:szCs w:val="24"/>
                <w:lang w:val="en-US" w:eastAsia="zh-CN" w:bidi="ar-SA"/>
              </w:rPr>
              <w:t>评标基准价</w:t>
            </w:r>
            <w:r>
              <w:rPr>
                <w:rFonts w:ascii="宋体" w:hAnsi="宋体" w:eastAsia="宋体" w:cs="宋体"/>
                <w:kern w:val="28"/>
                <w:sz w:val="24"/>
                <w:szCs w:val="24"/>
                <w:lang w:val="en-US" w:eastAsia="zh-CN" w:bidi="ar-SA"/>
              </w:rPr>
              <w:t>=</w:t>
            </w:r>
            <w:r>
              <w:rPr>
                <w:rFonts w:hint="eastAsia" w:ascii="宋体" w:hAnsi="宋体" w:eastAsia="宋体" w:cs="宋体"/>
                <w:kern w:val="28"/>
                <w:sz w:val="24"/>
                <w:szCs w:val="24"/>
                <w:lang w:val="en-US" w:eastAsia="zh-CN" w:bidi="ar-SA"/>
              </w:rPr>
              <w:t>满足招标文件要求且投标价格最低的投标总价报价；</w:t>
            </w:r>
          </w:p>
          <w:p w14:paraId="005CB18E">
            <w:pPr>
              <w:widowControl w:val="0"/>
              <w:overflowPunct w:val="0"/>
              <w:autoSpaceDE w:val="0"/>
              <w:autoSpaceDN w:val="0"/>
              <w:adjustRightInd w:val="0"/>
              <w:spacing w:line="360" w:lineRule="auto"/>
              <w:jc w:val="left"/>
              <w:textAlignment w:val="baseline"/>
              <w:rPr>
                <w:rFonts w:ascii="宋体" w:hAnsi="Times New Roman" w:eastAsia="宋体" w:cs="宋体"/>
                <w:kern w:val="28"/>
                <w:sz w:val="24"/>
                <w:szCs w:val="24"/>
                <w:lang w:val="en-US" w:eastAsia="zh-CN" w:bidi="ar-SA"/>
              </w:rPr>
            </w:pPr>
            <w:r>
              <w:rPr>
                <w:rFonts w:ascii="宋体" w:hAnsi="宋体" w:eastAsia="宋体" w:cs="宋体"/>
                <w:kern w:val="28"/>
                <w:sz w:val="24"/>
                <w:szCs w:val="24"/>
                <w:lang w:val="en-US" w:eastAsia="zh-CN" w:bidi="ar-SA"/>
              </w:rPr>
              <w:t>(3)</w:t>
            </w:r>
            <w:r>
              <w:rPr>
                <w:rFonts w:hint="eastAsia" w:ascii="宋体" w:hAnsi="宋体" w:eastAsia="宋体" w:cs="宋体"/>
                <w:kern w:val="28"/>
                <w:sz w:val="24"/>
                <w:szCs w:val="24"/>
                <w:lang w:val="en-US" w:eastAsia="zh-CN" w:bidi="ar-SA"/>
              </w:rPr>
              <w:t>有效投标报价</w:t>
            </w:r>
            <w:r>
              <w:rPr>
                <w:rFonts w:ascii="宋体" w:hAnsi="宋体" w:eastAsia="宋体" w:cs="宋体"/>
                <w:kern w:val="28"/>
                <w:sz w:val="24"/>
                <w:szCs w:val="24"/>
                <w:lang w:val="en-US" w:eastAsia="zh-CN" w:bidi="ar-SA"/>
              </w:rPr>
              <w:t>=</w:t>
            </w:r>
            <w:r>
              <w:rPr>
                <w:rFonts w:hint="eastAsia" w:ascii="宋体" w:hAnsi="宋体" w:eastAsia="宋体" w:cs="宋体"/>
                <w:kern w:val="28"/>
                <w:sz w:val="24"/>
                <w:szCs w:val="24"/>
                <w:lang w:val="en-US" w:eastAsia="zh-CN" w:bidi="ar-SA"/>
              </w:rPr>
              <w:t>通过资格性符合性审查的各投标人的投标总价报价；</w:t>
            </w:r>
          </w:p>
        </w:tc>
      </w:tr>
      <w:tr w14:paraId="6BE8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4"/>
            <w:noWrap/>
          </w:tcPr>
          <w:p w14:paraId="7D6C405D">
            <w:pPr>
              <w:spacing w:line="360" w:lineRule="auto"/>
              <w:rPr>
                <w:rFonts w:ascii="宋体"/>
                <w:b/>
                <w:sz w:val="24"/>
              </w:rPr>
            </w:pPr>
            <w:r>
              <w:rPr>
                <w:rFonts w:hint="eastAsia" w:ascii="宋体" w:hAnsi="宋体"/>
                <w:b/>
                <w:sz w:val="24"/>
              </w:rPr>
              <w:t>各投标人的最终得分为</w:t>
            </w:r>
            <w:r>
              <w:rPr>
                <w:rFonts w:ascii="宋体" w:hAnsi="宋体"/>
                <w:b/>
                <w:sz w:val="24"/>
              </w:rPr>
              <w:t>A+B+C</w:t>
            </w:r>
          </w:p>
        </w:tc>
      </w:tr>
    </w:tbl>
    <w:p w14:paraId="64C2C193">
      <w:pPr>
        <w:spacing w:line="400" w:lineRule="exact"/>
        <w:jc w:val="center"/>
        <w:outlineLvl w:val="1"/>
        <w:rPr>
          <w:rFonts w:hint="eastAsia" w:ascii="宋体" w:hAnsi="宋体"/>
          <w:b/>
          <w:color w:val="auto"/>
          <w:sz w:val="36"/>
          <w:highlight w:val="none"/>
        </w:rPr>
      </w:pPr>
    </w:p>
    <w:p w14:paraId="7CD7A811">
      <w:pPr>
        <w:spacing w:line="400" w:lineRule="exact"/>
        <w:jc w:val="center"/>
        <w:outlineLvl w:val="1"/>
        <w:rPr>
          <w:rFonts w:hint="eastAsia" w:ascii="宋体" w:hAnsi="宋体"/>
          <w:b/>
          <w:color w:val="auto"/>
          <w:sz w:val="36"/>
          <w:highlight w:val="none"/>
        </w:rPr>
      </w:pPr>
    </w:p>
    <w:p w14:paraId="7E4CE338">
      <w:pPr>
        <w:spacing w:line="400" w:lineRule="exact"/>
        <w:jc w:val="center"/>
        <w:outlineLvl w:val="1"/>
        <w:rPr>
          <w:rFonts w:hint="eastAsia" w:ascii="宋体" w:hAnsi="宋体"/>
          <w:b/>
          <w:color w:val="auto"/>
          <w:sz w:val="36"/>
          <w:highlight w:val="none"/>
        </w:rPr>
      </w:pPr>
    </w:p>
    <w:p w14:paraId="48073037">
      <w:pPr>
        <w:spacing w:line="400" w:lineRule="exact"/>
        <w:jc w:val="center"/>
        <w:outlineLvl w:val="1"/>
        <w:rPr>
          <w:rFonts w:hint="eastAsia" w:ascii="宋体" w:hAnsi="宋体"/>
          <w:b/>
          <w:color w:val="auto"/>
          <w:sz w:val="36"/>
          <w:highlight w:val="none"/>
        </w:rPr>
      </w:pPr>
    </w:p>
    <w:p w14:paraId="0D1BE7A9">
      <w:pPr>
        <w:spacing w:line="400" w:lineRule="exact"/>
        <w:jc w:val="center"/>
        <w:outlineLvl w:val="1"/>
        <w:rPr>
          <w:rFonts w:hint="eastAsia" w:ascii="宋体" w:hAnsi="宋体"/>
          <w:b/>
          <w:color w:val="auto"/>
          <w:sz w:val="36"/>
          <w:highlight w:val="none"/>
        </w:rPr>
      </w:pPr>
    </w:p>
    <w:bookmarkEnd w:id="12"/>
    <w:bookmarkEnd w:id="13"/>
    <w:bookmarkEnd w:id="14"/>
    <w:bookmarkEnd w:id="15"/>
    <w:bookmarkEnd w:id="16"/>
    <w:bookmarkEnd w:id="17"/>
    <w:bookmarkEnd w:id="18"/>
    <w:bookmarkEnd w:id="19"/>
    <w:bookmarkEnd w:id="20"/>
    <w:bookmarkEnd w:id="21"/>
    <w:bookmarkEnd w:id="22"/>
    <w:bookmarkEnd w:id="23"/>
    <w:p w14:paraId="6B2A89B2">
      <w:pPr>
        <w:spacing w:line="400" w:lineRule="exact"/>
        <w:jc w:val="center"/>
        <w:outlineLvl w:val="1"/>
        <w:rPr>
          <w:rFonts w:ascii="宋体" w:hAnsi="宋体"/>
          <w:b/>
          <w:color w:val="auto"/>
          <w:sz w:val="36"/>
          <w:highlight w:val="none"/>
        </w:rPr>
      </w:pPr>
      <w:bookmarkStart w:id="26" w:name="_Toc28440"/>
      <w:r>
        <w:rPr>
          <w:rFonts w:hint="eastAsia" w:ascii="宋体" w:hAnsi="宋体"/>
          <w:b/>
          <w:color w:val="auto"/>
          <w:sz w:val="36"/>
          <w:highlight w:val="none"/>
        </w:rPr>
        <w:t>一、说明</w:t>
      </w:r>
      <w:bookmarkEnd w:id="26"/>
    </w:p>
    <w:p w14:paraId="356FA7D7">
      <w:pPr>
        <w:spacing w:line="480" w:lineRule="exact"/>
        <w:outlineLvl w:val="2"/>
        <w:rPr>
          <w:rFonts w:ascii="宋体" w:hAnsi="宋体"/>
          <w:b/>
          <w:color w:val="auto"/>
          <w:sz w:val="24"/>
          <w:highlight w:val="none"/>
        </w:rPr>
      </w:pPr>
      <w:bookmarkStart w:id="27" w:name="_Toc2249"/>
      <w:bookmarkStart w:id="28" w:name="_Toc21938"/>
      <w:r>
        <w:rPr>
          <w:rFonts w:ascii="宋体" w:hAnsi="宋体"/>
          <w:b/>
          <w:color w:val="auto"/>
          <w:sz w:val="24"/>
          <w:highlight w:val="none"/>
        </w:rPr>
        <w:t xml:space="preserve">1. </w:t>
      </w:r>
      <w:r>
        <w:rPr>
          <w:rFonts w:hint="eastAsia" w:ascii="宋体" w:hAnsi="宋体"/>
          <w:b/>
          <w:color w:val="auto"/>
          <w:sz w:val="24"/>
          <w:highlight w:val="none"/>
        </w:rPr>
        <w:t>适用范围</w:t>
      </w:r>
      <w:bookmarkEnd w:id="27"/>
      <w:bookmarkEnd w:id="28"/>
    </w:p>
    <w:p w14:paraId="25510229">
      <w:pPr>
        <w:spacing w:line="480" w:lineRule="exact"/>
        <w:rPr>
          <w:rFonts w:ascii="宋体" w:hAnsi="宋体"/>
          <w:color w:val="auto"/>
          <w:sz w:val="24"/>
          <w:highlight w:val="none"/>
        </w:rPr>
      </w:pPr>
      <w:r>
        <w:rPr>
          <w:rFonts w:ascii="宋体" w:hAnsi="宋体"/>
          <w:color w:val="auto"/>
          <w:sz w:val="24"/>
          <w:highlight w:val="none"/>
        </w:rPr>
        <w:t>1.1</w:t>
      </w:r>
      <w:r>
        <w:rPr>
          <w:rFonts w:hint="eastAsia" w:ascii="宋体" w:hAnsi="宋体"/>
          <w:color w:val="auto"/>
          <w:sz w:val="24"/>
          <w:highlight w:val="none"/>
        </w:rPr>
        <w:t>本招标文件仅适用于投标邀请中所叙述项目的</w:t>
      </w:r>
      <w:r>
        <w:rPr>
          <w:rFonts w:hint="eastAsia" w:ascii="宋体" w:hAnsi="宋体"/>
          <w:color w:val="auto"/>
          <w:sz w:val="24"/>
          <w:highlight w:val="none"/>
          <w:lang w:eastAsia="zh-CN"/>
        </w:rPr>
        <w:t>货物和</w:t>
      </w:r>
      <w:r>
        <w:rPr>
          <w:rFonts w:hint="eastAsia" w:ascii="宋体" w:hAnsi="宋体"/>
          <w:color w:val="auto"/>
          <w:sz w:val="24"/>
          <w:highlight w:val="none"/>
        </w:rPr>
        <w:t>服务采购。</w:t>
      </w:r>
    </w:p>
    <w:p w14:paraId="04A35DB2">
      <w:pPr>
        <w:spacing w:line="480" w:lineRule="exact"/>
        <w:outlineLvl w:val="2"/>
        <w:rPr>
          <w:rFonts w:ascii="宋体" w:hAnsi="宋体"/>
          <w:b/>
          <w:color w:val="auto"/>
          <w:sz w:val="24"/>
          <w:highlight w:val="none"/>
        </w:rPr>
      </w:pPr>
      <w:bookmarkStart w:id="29" w:name="_Toc16719"/>
      <w:bookmarkStart w:id="30" w:name="_Toc1297"/>
      <w:r>
        <w:rPr>
          <w:rFonts w:ascii="宋体" w:hAnsi="宋体"/>
          <w:b/>
          <w:color w:val="auto"/>
          <w:sz w:val="24"/>
          <w:highlight w:val="none"/>
        </w:rPr>
        <w:t xml:space="preserve">2. </w:t>
      </w:r>
      <w:r>
        <w:rPr>
          <w:rFonts w:hint="eastAsia" w:ascii="宋体" w:hAnsi="宋体"/>
          <w:b/>
          <w:color w:val="auto"/>
          <w:sz w:val="24"/>
          <w:highlight w:val="none"/>
        </w:rPr>
        <w:t>定义</w:t>
      </w:r>
      <w:bookmarkEnd w:id="29"/>
      <w:bookmarkEnd w:id="30"/>
    </w:p>
    <w:p w14:paraId="00AC6BAA">
      <w:pPr>
        <w:spacing w:line="480" w:lineRule="exact"/>
        <w:rPr>
          <w:rFonts w:ascii="宋体" w:hAnsi="宋体"/>
          <w:color w:val="auto"/>
          <w:sz w:val="24"/>
          <w:highlight w:val="none"/>
        </w:rPr>
      </w:pPr>
      <w:r>
        <w:rPr>
          <w:rFonts w:ascii="宋体" w:hAnsi="宋体"/>
          <w:color w:val="auto"/>
          <w:sz w:val="24"/>
          <w:highlight w:val="none"/>
        </w:rPr>
        <w:t>2.1</w:t>
      </w:r>
      <w:r>
        <w:rPr>
          <w:rFonts w:hint="eastAsia" w:ascii="宋体" w:hAnsi="宋体"/>
          <w:color w:val="auto"/>
          <w:sz w:val="24"/>
          <w:highlight w:val="none"/>
        </w:rPr>
        <w:t xml:space="preserve"> “招标人”系指本次采购项目的业主方。</w:t>
      </w:r>
    </w:p>
    <w:p w14:paraId="6AC1BC22">
      <w:pPr>
        <w:spacing w:line="48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2 “招标采购单位”系指组织本次招标活动的招标人或招标代理机构。</w:t>
      </w:r>
    </w:p>
    <w:p w14:paraId="0F5AD167">
      <w:pPr>
        <w:spacing w:line="480" w:lineRule="exact"/>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3 “招标代理机构”系指本次招标采购项目活动组织方。</w:t>
      </w:r>
    </w:p>
    <w:p w14:paraId="15380360">
      <w:pPr>
        <w:spacing w:line="480" w:lineRule="exact"/>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.4 </w:t>
      </w:r>
      <w:r>
        <w:rPr>
          <w:rFonts w:hint="eastAsia" w:ascii="宋体" w:hAnsi="宋体"/>
          <w:color w:val="auto"/>
          <w:sz w:val="24"/>
          <w:highlight w:val="none"/>
        </w:rPr>
        <w:t>“投标人”系指购买了本招标文件，且已经提交或者准备提交本次投标文件的投标人。</w:t>
      </w:r>
    </w:p>
    <w:p w14:paraId="74809199">
      <w:pPr>
        <w:spacing w:line="480" w:lineRule="exact"/>
        <w:outlineLvl w:val="2"/>
        <w:rPr>
          <w:rFonts w:hint="eastAsia" w:ascii="宋体" w:hAnsi="宋体"/>
          <w:b w:val="0"/>
          <w:bCs/>
          <w:color w:val="auto"/>
          <w:sz w:val="24"/>
          <w:highlight w:val="none"/>
        </w:rPr>
      </w:pPr>
      <w:bookmarkStart w:id="31" w:name="_Toc6443"/>
      <w:bookmarkStart w:id="32" w:name="_Toc24866"/>
      <w:r>
        <w:rPr>
          <w:rFonts w:hint="eastAsia" w:ascii="宋体" w:hAnsi="宋体"/>
          <w:b w:val="0"/>
          <w:bCs/>
          <w:color w:val="auto"/>
          <w:sz w:val="24"/>
          <w:highlight w:val="none"/>
        </w:rPr>
        <w:t>2.5 “货物”系指中标人按招标文件规定向招标人提供的一切货物、配件、材料、备品备件、工具手册及其它有关技术资料和材料。</w:t>
      </w:r>
      <w:bookmarkEnd w:id="31"/>
    </w:p>
    <w:p w14:paraId="52846A7F">
      <w:pPr>
        <w:spacing w:line="480" w:lineRule="exact"/>
        <w:outlineLvl w:val="2"/>
        <w:rPr>
          <w:rFonts w:hint="eastAsia" w:ascii="宋体" w:hAnsi="宋体"/>
          <w:b w:val="0"/>
          <w:bCs/>
          <w:color w:val="auto"/>
          <w:sz w:val="24"/>
          <w:highlight w:val="none"/>
        </w:rPr>
      </w:pPr>
      <w:bookmarkStart w:id="33" w:name="_Toc5804"/>
      <w:r>
        <w:rPr>
          <w:rFonts w:hint="eastAsia" w:ascii="宋体" w:hAnsi="宋体"/>
          <w:b w:val="0"/>
          <w:bCs/>
          <w:color w:val="auto"/>
          <w:sz w:val="24"/>
          <w:highlight w:val="none"/>
        </w:rPr>
        <w:t>2.6 “服务”系指招标文件规定中标人须承担的安装、调试、技术协助、校准、培训、施工以及其他类似的义务。</w:t>
      </w:r>
      <w:bookmarkEnd w:id="33"/>
    </w:p>
    <w:p w14:paraId="3C8C941A">
      <w:pPr>
        <w:spacing w:line="480" w:lineRule="exact"/>
        <w:outlineLvl w:val="2"/>
        <w:rPr>
          <w:rFonts w:ascii="宋体" w:hAnsi="宋体"/>
          <w:b/>
          <w:color w:val="auto"/>
          <w:sz w:val="24"/>
          <w:highlight w:val="none"/>
        </w:rPr>
      </w:pPr>
      <w:bookmarkStart w:id="34" w:name="_Toc20314"/>
      <w:r>
        <w:rPr>
          <w:rFonts w:ascii="宋体" w:hAnsi="宋体"/>
          <w:b/>
          <w:color w:val="auto"/>
          <w:sz w:val="24"/>
          <w:highlight w:val="none"/>
        </w:rPr>
        <w:t xml:space="preserve">3. </w:t>
      </w:r>
      <w:r>
        <w:rPr>
          <w:rFonts w:hint="eastAsia" w:ascii="宋体" w:hAnsi="宋体"/>
          <w:b/>
          <w:color w:val="auto"/>
          <w:sz w:val="24"/>
          <w:highlight w:val="none"/>
        </w:rPr>
        <w:t>合格的</w:t>
      </w:r>
      <w:bookmarkEnd w:id="32"/>
      <w:r>
        <w:rPr>
          <w:rFonts w:hint="eastAsia" w:ascii="宋体" w:hAnsi="宋体"/>
          <w:b/>
          <w:color w:val="auto"/>
          <w:sz w:val="24"/>
          <w:highlight w:val="none"/>
        </w:rPr>
        <w:t>投标人</w:t>
      </w:r>
      <w:bookmarkEnd w:id="34"/>
    </w:p>
    <w:p w14:paraId="78D01151">
      <w:pPr>
        <w:widowControl/>
        <w:spacing w:line="480" w:lineRule="exact"/>
        <w:rPr>
          <w:rFonts w:ascii="宋体" w:hAnsi="宋体" w:cs="宋体"/>
          <w:color w:val="auto"/>
          <w:kern w:val="0"/>
          <w:sz w:val="24"/>
          <w:highlight w:val="none"/>
        </w:rPr>
      </w:pPr>
      <w:r>
        <w:rPr>
          <w:rFonts w:ascii="宋体" w:hAnsi="宋体"/>
          <w:color w:val="auto"/>
          <w:sz w:val="24"/>
          <w:highlight w:val="none"/>
        </w:rPr>
        <w:t>3.1</w:t>
      </w:r>
      <w:r>
        <w:rPr>
          <w:rFonts w:hint="eastAsia" w:ascii="宋体" w:hAnsi="宋体"/>
          <w:color w:val="auto"/>
          <w:sz w:val="24"/>
          <w:highlight w:val="none"/>
        </w:rPr>
        <w:t>详见本章投标人须知前附表第2项号要求</w:t>
      </w:r>
      <w:r>
        <w:rPr>
          <w:rFonts w:hint="eastAsia" w:ascii="宋体" w:hAnsi="宋体" w:cs="宋体"/>
          <w:color w:val="auto"/>
          <w:kern w:val="0"/>
          <w:sz w:val="24"/>
          <w:highlight w:val="none"/>
        </w:rPr>
        <w:t>。</w:t>
      </w:r>
    </w:p>
    <w:p w14:paraId="51BE4B75">
      <w:pPr>
        <w:widowControl/>
        <w:spacing w:line="480" w:lineRule="exact"/>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2 投标人应遵守中国的有关法律、法规和规章的规定。</w:t>
      </w:r>
    </w:p>
    <w:p w14:paraId="571E0E0D">
      <w:pPr>
        <w:widowControl/>
        <w:spacing w:line="480" w:lineRule="exact"/>
        <w:rPr>
          <w:rFonts w:ascii="宋体" w:hAnsi="宋体"/>
          <w:color w:val="auto"/>
          <w:sz w:val="24"/>
          <w:highlight w:val="none"/>
        </w:rPr>
      </w:pPr>
      <w:r>
        <w:rPr>
          <w:rFonts w:hint="eastAsia" w:ascii="宋体" w:hAnsi="宋体"/>
          <w:color w:val="auto"/>
          <w:sz w:val="24"/>
          <w:highlight w:val="none"/>
        </w:rPr>
        <w:t>3.3一个投标人只能提交一个投标文件。</w:t>
      </w:r>
    </w:p>
    <w:p w14:paraId="32EF7A7D">
      <w:pPr>
        <w:widowControl/>
        <w:spacing w:line="480" w:lineRule="exact"/>
        <w:rPr>
          <w:rFonts w:ascii="宋体" w:hAnsi="宋体"/>
          <w:b/>
          <w:bCs/>
          <w:color w:val="auto"/>
          <w:sz w:val="24"/>
          <w:highlight w:val="none"/>
        </w:rPr>
      </w:pPr>
      <w:r>
        <w:rPr>
          <w:rFonts w:hint="eastAsia" w:ascii="宋体" w:hAnsi="宋体"/>
          <w:color w:val="auto"/>
          <w:sz w:val="24"/>
          <w:highlight w:val="none"/>
        </w:rPr>
        <w:t>3.4与招标人存在利害关系可能影响招标公正性的法人、其他组织或者个人，不得参加投标。</w:t>
      </w:r>
      <w:r>
        <w:rPr>
          <w:rFonts w:hint="eastAsia" w:ascii="宋体" w:hAnsi="宋体"/>
          <w:color w:val="auto"/>
          <w:sz w:val="24"/>
          <w:highlight w:val="none"/>
          <w:lang w:eastAsia="zh-CN"/>
        </w:rPr>
        <w:t>法定代表人</w:t>
      </w:r>
      <w:r>
        <w:rPr>
          <w:rFonts w:hint="eastAsia" w:ascii="宋体" w:hAnsi="宋体"/>
          <w:color w:val="auto"/>
          <w:sz w:val="24"/>
          <w:highlight w:val="none"/>
        </w:rPr>
        <w:t>为同一人或者存在控股、管理关系的不同单位，不得参加同一标段投标或者未划分标段的同一招标项目投标。</w:t>
      </w:r>
      <w:r>
        <w:rPr>
          <w:rFonts w:hint="eastAsia" w:ascii="宋体" w:hAnsi="宋体"/>
          <w:b/>
          <w:bCs/>
          <w:color w:val="auto"/>
          <w:sz w:val="24"/>
          <w:highlight w:val="none"/>
          <w:u w:val="single"/>
        </w:rPr>
        <w:t>违反本条规定的，相关投标均无效。</w:t>
      </w:r>
    </w:p>
    <w:p w14:paraId="48B44F2D">
      <w:pPr>
        <w:widowControl/>
        <w:spacing w:line="480" w:lineRule="exact"/>
        <w:rPr>
          <w:rFonts w:ascii="宋体" w:hAnsi="宋体"/>
          <w:color w:val="auto"/>
          <w:sz w:val="24"/>
          <w:highlight w:val="none"/>
        </w:rPr>
      </w:pPr>
      <w:r>
        <w:rPr>
          <w:rFonts w:hint="eastAsia" w:ascii="宋体" w:hAnsi="宋体"/>
          <w:color w:val="auto"/>
          <w:sz w:val="24"/>
          <w:highlight w:val="none"/>
        </w:rPr>
        <w:t>3.5本项目不接受联合体投标。</w:t>
      </w:r>
    </w:p>
    <w:p w14:paraId="4DEA0498">
      <w:pPr>
        <w:widowControl/>
        <w:spacing w:line="480" w:lineRule="exact"/>
        <w:rPr>
          <w:rFonts w:ascii="宋体" w:hAnsi="宋体"/>
          <w:color w:val="auto"/>
          <w:sz w:val="24"/>
          <w:highlight w:val="none"/>
        </w:rPr>
      </w:pPr>
      <w:r>
        <w:rPr>
          <w:rFonts w:hint="eastAsia" w:ascii="宋体" w:hAnsi="宋体"/>
          <w:color w:val="auto"/>
          <w:sz w:val="24"/>
          <w:highlight w:val="none"/>
        </w:rPr>
        <w:t>3.6投标代表在同一个项目中只能接受一个投标人的委托参加投标。</w:t>
      </w:r>
    </w:p>
    <w:p w14:paraId="6D46FB29">
      <w:pPr>
        <w:spacing w:line="480" w:lineRule="exact"/>
        <w:outlineLvl w:val="2"/>
        <w:rPr>
          <w:rFonts w:ascii="宋体" w:hAnsi="宋体"/>
          <w:b/>
          <w:color w:val="auto"/>
          <w:sz w:val="24"/>
          <w:highlight w:val="none"/>
        </w:rPr>
      </w:pPr>
      <w:bookmarkStart w:id="35" w:name="_Toc17952"/>
      <w:bookmarkStart w:id="36" w:name="_Toc4209"/>
      <w:r>
        <w:rPr>
          <w:rFonts w:hint="eastAsia" w:ascii="宋体" w:hAnsi="宋体"/>
          <w:b/>
          <w:color w:val="auto"/>
          <w:sz w:val="24"/>
          <w:highlight w:val="none"/>
        </w:rPr>
        <w:t>4</w:t>
      </w:r>
      <w:r>
        <w:rPr>
          <w:rFonts w:ascii="宋体" w:hAnsi="宋体"/>
          <w:b/>
          <w:color w:val="auto"/>
          <w:sz w:val="24"/>
          <w:highlight w:val="none"/>
        </w:rPr>
        <w:t>.</w:t>
      </w:r>
      <w:r>
        <w:rPr>
          <w:rFonts w:hint="eastAsia" w:ascii="宋体" w:hAnsi="宋体"/>
          <w:b/>
          <w:color w:val="auto"/>
          <w:sz w:val="24"/>
          <w:highlight w:val="none"/>
        </w:rPr>
        <w:t xml:space="preserve"> 投标费用</w:t>
      </w:r>
      <w:bookmarkEnd w:id="35"/>
      <w:bookmarkEnd w:id="36"/>
    </w:p>
    <w:p w14:paraId="16339DEA">
      <w:pPr>
        <w:spacing w:line="480" w:lineRule="exact"/>
        <w:rPr>
          <w:rFonts w:ascii="宋体" w:hAnsi="宋体"/>
          <w:color w:val="auto"/>
          <w:sz w:val="24"/>
          <w:highlight w:val="none"/>
        </w:rPr>
      </w:pPr>
      <w:r>
        <w:rPr>
          <w:rFonts w:ascii="宋体" w:hAnsi="宋体"/>
          <w:color w:val="auto"/>
          <w:sz w:val="24"/>
          <w:highlight w:val="none"/>
        </w:rPr>
        <w:t>4.1</w:t>
      </w:r>
      <w:r>
        <w:rPr>
          <w:rFonts w:hint="eastAsia" w:ascii="宋体" w:hAnsi="宋体"/>
          <w:color w:val="auto"/>
          <w:sz w:val="24"/>
          <w:highlight w:val="none"/>
        </w:rPr>
        <w:t xml:space="preserve"> 投标人自行承担其参加投标所涉及的一切费用。</w:t>
      </w:r>
    </w:p>
    <w:p w14:paraId="717BDD9D">
      <w:pPr>
        <w:pStyle w:val="35"/>
        <w:spacing w:line="400" w:lineRule="exact"/>
        <w:outlineLvl w:val="1"/>
        <w:rPr>
          <w:rFonts w:hAnsi="宋体"/>
          <w:b/>
          <w:bCs/>
          <w:color w:val="auto"/>
          <w:sz w:val="36"/>
          <w:szCs w:val="36"/>
          <w:highlight w:val="none"/>
        </w:rPr>
      </w:pPr>
    </w:p>
    <w:p w14:paraId="2F32D5AF">
      <w:pPr>
        <w:pStyle w:val="35"/>
        <w:spacing w:line="400" w:lineRule="exact"/>
        <w:jc w:val="center"/>
        <w:outlineLvl w:val="1"/>
        <w:rPr>
          <w:rFonts w:hAnsi="宋体"/>
          <w:b/>
          <w:bCs/>
          <w:color w:val="auto"/>
          <w:sz w:val="36"/>
          <w:szCs w:val="36"/>
          <w:highlight w:val="none"/>
        </w:rPr>
      </w:pPr>
    </w:p>
    <w:p w14:paraId="70420326">
      <w:pPr>
        <w:pStyle w:val="35"/>
        <w:spacing w:line="400" w:lineRule="exact"/>
        <w:jc w:val="center"/>
        <w:outlineLvl w:val="1"/>
        <w:rPr>
          <w:rFonts w:hAnsi="宋体"/>
          <w:b/>
          <w:bCs/>
          <w:color w:val="auto"/>
          <w:sz w:val="36"/>
          <w:szCs w:val="36"/>
          <w:highlight w:val="none"/>
        </w:rPr>
      </w:pPr>
      <w:bookmarkStart w:id="37" w:name="_Toc20409"/>
      <w:r>
        <w:rPr>
          <w:rFonts w:hint="eastAsia" w:hAnsi="宋体"/>
          <w:b/>
          <w:bCs/>
          <w:color w:val="auto"/>
          <w:sz w:val="36"/>
          <w:szCs w:val="36"/>
          <w:highlight w:val="none"/>
        </w:rPr>
        <w:t>二、招标文件</w:t>
      </w:r>
      <w:bookmarkEnd w:id="37"/>
    </w:p>
    <w:p w14:paraId="6C253E04">
      <w:pPr>
        <w:spacing w:line="360" w:lineRule="auto"/>
        <w:outlineLvl w:val="2"/>
        <w:rPr>
          <w:rFonts w:ascii="宋体" w:hAnsi="宋体"/>
          <w:b/>
          <w:color w:val="auto"/>
          <w:sz w:val="24"/>
          <w:highlight w:val="none"/>
        </w:rPr>
      </w:pPr>
      <w:bookmarkStart w:id="38" w:name="_Toc32356"/>
      <w:bookmarkStart w:id="39" w:name="_Toc7287"/>
      <w:r>
        <w:rPr>
          <w:rFonts w:hint="eastAsia" w:ascii="宋体" w:hAnsi="宋体"/>
          <w:b/>
          <w:color w:val="auto"/>
          <w:sz w:val="24"/>
          <w:highlight w:val="none"/>
        </w:rPr>
        <w:t>5</w:t>
      </w:r>
      <w:r>
        <w:rPr>
          <w:rFonts w:ascii="宋体" w:hAnsi="宋体"/>
          <w:b/>
          <w:color w:val="auto"/>
          <w:sz w:val="24"/>
          <w:highlight w:val="none"/>
        </w:rPr>
        <w:t xml:space="preserve">. </w:t>
      </w:r>
      <w:r>
        <w:rPr>
          <w:rFonts w:hint="eastAsia" w:ascii="宋体" w:hAnsi="宋体"/>
          <w:b/>
          <w:color w:val="auto"/>
          <w:sz w:val="24"/>
          <w:highlight w:val="none"/>
        </w:rPr>
        <w:t>招标文件的组成</w:t>
      </w:r>
      <w:bookmarkEnd w:id="38"/>
      <w:bookmarkEnd w:id="39"/>
    </w:p>
    <w:p w14:paraId="46AADC9A">
      <w:pPr>
        <w:pStyle w:val="5"/>
        <w:snapToGrid w:val="0"/>
        <w:spacing w:line="360" w:lineRule="auto"/>
        <w:ind w:firstLine="0" w:firstLineChars="0"/>
        <w:rPr>
          <w:rFonts w:ascii="宋体" w:hAnsi="宋体"/>
          <w:color w:val="auto"/>
          <w:sz w:val="24"/>
          <w:highlight w:val="none"/>
        </w:rPr>
      </w:pPr>
      <w:r>
        <w:rPr>
          <w:rFonts w:hint="eastAsia" w:ascii="宋体" w:hAnsi="宋体"/>
          <w:color w:val="auto"/>
          <w:sz w:val="24"/>
          <w:highlight w:val="none"/>
        </w:rPr>
        <w:t>5.1招标文件用以阐明所需服务招标程序和合同主要条款。招标文件由下述部分组成：</w:t>
      </w:r>
    </w:p>
    <w:p w14:paraId="428AAED1">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⑴ 投标邀请</w:t>
      </w:r>
    </w:p>
    <w:p w14:paraId="58ECC07D">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 xml:space="preserve">⑵ 投标人须知 </w:t>
      </w:r>
    </w:p>
    <w:p w14:paraId="156AC2DC">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⑶ 招标内容及要求</w:t>
      </w:r>
    </w:p>
    <w:p w14:paraId="19948627">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⑷ 合同（参考）</w:t>
      </w:r>
    </w:p>
    <w:p w14:paraId="203C74DA">
      <w:pPr>
        <w:pStyle w:val="5"/>
        <w:snapToGrid w:val="0"/>
        <w:spacing w:line="360" w:lineRule="auto"/>
        <w:ind w:firstLine="240" w:firstLineChars="100"/>
        <w:rPr>
          <w:rFonts w:ascii="宋体" w:hAnsi="宋体"/>
          <w:color w:val="auto"/>
          <w:sz w:val="24"/>
          <w:highlight w:val="none"/>
        </w:rPr>
      </w:pPr>
      <w:r>
        <w:rPr>
          <w:rFonts w:hint="eastAsia" w:ascii="宋体" w:hAnsi="宋体"/>
          <w:color w:val="auto"/>
          <w:sz w:val="24"/>
          <w:highlight w:val="none"/>
        </w:rPr>
        <w:t>⑸ 投标文件格式（技术商务部分格式和报价部分格式）</w:t>
      </w:r>
    </w:p>
    <w:p w14:paraId="1E214871">
      <w:pPr>
        <w:pStyle w:val="5"/>
        <w:snapToGrid w:val="0"/>
        <w:spacing w:line="360" w:lineRule="auto"/>
        <w:ind w:firstLine="0" w:firstLineChars="0"/>
        <w:rPr>
          <w:rFonts w:ascii="宋体" w:hAnsi="宋体"/>
          <w:bCs/>
          <w:color w:val="auto"/>
          <w:sz w:val="24"/>
          <w:highlight w:val="none"/>
        </w:rPr>
      </w:pPr>
      <w:r>
        <w:rPr>
          <w:rFonts w:hint="eastAsia" w:ascii="宋体" w:hAnsi="宋体"/>
          <w:color w:val="auto"/>
          <w:sz w:val="24"/>
          <w:highlight w:val="none"/>
        </w:rPr>
        <w:t>5.2除非有特殊需要，招标文件不单独提供本项目使用地的自然环境、气候条件、公有设施、配套设施等情况，投标人若对以上情况要求了解，经招标人同意后，可以到使用地</w:t>
      </w:r>
      <w:r>
        <w:rPr>
          <w:rFonts w:hint="eastAsia" w:ascii="宋体" w:hAnsi="宋体"/>
          <w:color w:val="auto"/>
          <w:sz w:val="24"/>
          <w:highlight w:val="none"/>
          <w:lang w:eastAsia="zh-CN"/>
        </w:rPr>
        <w:t>考察</w:t>
      </w:r>
      <w:r>
        <w:rPr>
          <w:rFonts w:hint="eastAsia" w:ascii="宋体" w:hAnsi="宋体"/>
          <w:color w:val="auto"/>
          <w:sz w:val="24"/>
          <w:highlight w:val="none"/>
        </w:rPr>
        <w:t>，否则将被视为熟悉上述与履行合同有关的一切情况</w:t>
      </w:r>
      <w:r>
        <w:rPr>
          <w:rFonts w:hint="eastAsia" w:ascii="宋体" w:hAnsi="宋体"/>
          <w:bCs/>
          <w:color w:val="auto"/>
          <w:sz w:val="24"/>
          <w:highlight w:val="none"/>
        </w:rPr>
        <w:t>。</w:t>
      </w:r>
    </w:p>
    <w:p w14:paraId="53638633">
      <w:pPr>
        <w:spacing w:line="360" w:lineRule="auto"/>
        <w:outlineLvl w:val="2"/>
        <w:rPr>
          <w:rFonts w:ascii="宋体" w:hAnsi="宋体"/>
          <w:b/>
          <w:color w:val="auto"/>
          <w:sz w:val="24"/>
          <w:highlight w:val="none"/>
        </w:rPr>
      </w:pPr>
      <w:bookmarkStart w:id="40" w:name="_Toc4172"/>
      <w:bookmarkStart w:id="41" w:name="_Toc20279"/>
      <w:r>
        <w:rPr>
          <w:rFonts w:hint="eastAsia" w:ascii="宋体" w:hAnsi="宋体"/>
          <w:b/>
          <w:color w:val="auto"/>
          <w:sz w:val="24"/>
          <w:highlight w:val="none"/>
        </w:rPr>
        <w:t>6. 招标文件的澄清</w:t>
      </w:r>
      <w:bookmarkEnd w:id="40"/>
      <w:bookmarkEnd w:id="41"/>
    </w:p>
    <w:p w14:paraId="58C0DBCE">
      <w:pPr>
        <w:pStyle w:val="5"/>
        <w:snapToGrid w:val="0"/>
        <w:spacing w:line="360" w:lineRule="auto"/>
        <w:ind w:firstLine="0" w:firstLineChars="0"/>
        <w:rPr>
          <w:rFonts w:ascii="宋体" w:hAnsi="宋体"/>
          <w:color w:val="auto"/>
          <w:sz w:val="24"/>
          <w:highlight w:val="none"/>
        </w:rPr>
      </w:pPr>
      <w:r>
        <w:rPr>
          <w:rFonts w:hint="eastAsia" w:ascii="宋体" w:hAnsi="宋体"/>
          <w:bCs/>
          <w:color w:val="auto"/>
          <w:sz w:val="24"/>
          <w:highlight w:val="none"/>
        </w:rPr>
        <w:t>6.1 投标人对招标文件如有疑点，可要求澄清。要求澄清应按投标邀请中载明的地址以书面形式（</w:t>
      </w:r>
      <w:r>
        <w:rPr>
          <w:rFonts w:hint="eastAsia" w:ascii="宋体" w:hAnsi="宋体"/>
          <w:color w:val="auto"/>
          <w:spacing w:val="-6"/>
          <w:sz w:val="24"/>
          <w:highlight w:val="none"/>
        </w:rPr>
        <w:t>有效签署的原件并加盖公章，</w:t>
      </w:r>
      <w:r>
        <w:rPr>
          <w:rFonts w:hint="eastAsia" w:ascii="宋体" w:hAnsi="宋体"/>
          <w:color w:val="auto"/>
          <w:sz w:val="24"/>
          <w:highlight w:val="none"/>
        </w:rPr>
        <w:t>拒绝传真、电邮、电话形式等其它形式</w:t>
      </w:r>
      <w:r>
        <w:rPr>
          <w:rFonts w:hint="eastAsia" w:ascii="宋体" w:hAnsi="宋体"/>
          <w:bCs/>
          <w:color w:val="auto"/>
          <w:sz w:val="24"/>
          <w:highlight w:val="none"/>
        </w:rPr>
        <w:t>）通知</w:t>
      </w:r>
      <w:r>
        <w:rPr>
          <w:rFonts w:hint="eastAsia" w:ascii="宋体" w:hAnsi="宋体"/>
          <w:color w:val="auto"/>
          <w:sz w:val="24"/>
          <w:highlight w:val="none"/>
        </w:rPr>
        <w:t>招标代理机构</w:t>
      </w:r>
      <w:r>
        <w:rPr>
          <w:rFonts w:hint="eastAsia" w:ascii="宋体" w:hAnsi="宋体"/>
          <w:bCs/>
          <w:color w:val="auto"/>
          <w:sz w:val="24"/>
          <w:highlight w:val="none"/>
        </w:rPr>
        <w:t>。</w:t>
      </w:r>
      <w:r>
        <w:rPr>
          <w:rFonts w:hint="eastAsia" w:ascii="宋体" w:hAnsi="宋体"/>
          <w:color w:val="auto"/>
          <w:sz w:val="24"/>
          <w:highlight w:val="none"/>
        </w:rPr>
        <w:t>招标代理机构</w:t>
      </w:r>
      <w:r>
        <w:rPr>
          <w:rFonts w:hint="eastAsia" w:ascii="宋体" w:hAnsi="宋体"/>
          <w:bCs/>
          <w:color w:val="auto"/>
          <w:sz w:val="24"/>
          <w:highlight w:val="none"/>
        </w:rPr>
        <w:t>将视情况在投标截止时间前</w:t>
      </w:r>
      <w:r>
        <w:rPr>
          <w:rFonts w:hint="eastAsia" w:ascii="宋体" w:hAnsi="宋体"/>
          <w:color w:val="auto"/>
          <w:sz w:val="24"/>
          <w:highlight w:val="none"/>
        </w:rPr>
        <w:t>在指定的信息发布媒体上发布更正公告</w:t>
      </w:r>
      <w:r>
        <w:rPr>
          <w:rFonts w:hint="eastAsia" w:ascii="宋体" w:hAnsi="宋体"/>
          <w:bCs/>
          <w:color w:val="auto"/>
          <w:sz w:val="24"/>
          <w:highlight w:val="none"/>
        </w:rPr>
        <w:t>。</w:t>
      </w:r>
      <w:r>
        <w:rPr>
          <w:rFonts w:hint="eastAsia" w:ascii="宋体" w:hAnsi="宋体"/>
          <w:color w:val="auto"/>
          <w:sz w:val="24"/>
          <w:highlight w:val="none"/>
        </w:rPr>
        <w:t>该澄清内容为招标文件的组成部分。</w:t>
      </w:r>
    </w:p>
    <w:p w14:paraId="468E65AC">
      <w:pPr>
        <w:spacing w:line="360" w:lineRule="auto"/>
        <w:outlineLvl w:val="2"/>
        <w:rPr>
          <w:rFonts w:ascii="宋体" w:hAnsi="宋体"/>
          <w:b/>
          <w:bCs/>
          <w:color w:val="auto"/>
          <w:sz w:val="24"/>
          <w:highlight w:val="none"/>
        </w:rPr>
      </w:pPr>
      <w:bookmarkStart w:id="42" w:name="_Toc5767"/>
      <w:bookmarkStart w:id="43" w:name="_Toc11087"/>
      <w:r>
        <w:rPr>
          <w:rFonts w:hint="eastAsia" w:ascii="宋体" w:hAnsi="宋体"/>
          <w:b/>
          <w:bCs/>
          <w:color w:val="auto"/>
          <w:sz w:val="24"/>
          <w:highlight w:val="none"/>
        </w:rPr>
        <w:t>7. 招标文件的修改</w:t>
      </w:r>
      <w:bookmarkEnd w:id="42"/>
      <w:bookmarkEnd w:id="43"/>
    </w:p>
    <w:p w14:paraId="22EB39D2">
      <w:pPr>
        <w:pStyle w:val="5"/>
        <w:snapToGrid w:val="0"/>
        <w:spacing w:line="360" w:lineRule="auto"/>
        <w:ind w:firstLine="0" w:firstLineChars="0"/>
        <w:rPr>
          <w:rFonts w:ascii="宋体" w:hAnsi="宋体"/>
          <w:bCs/>
          <w:color w:val="auto"/>
          <w:sz w:val="24"/>
          <w:highlight w:val="none"/>
        </w:rPr>
      </w:pPr>
      <w:r>
        <w:rPr>
          <w:rFonts w:hint="eastAsia" w:ascii="宋体" w:hAnsi="宋体"/>
          <w:bCs/>
          <w:color w:val="auto"/>
          <w:sz w:val="24"/>
          <w:highlight w:val="none"/>
        </w:rPr>
        <w:t>7.1至投标截止时间前15日（如至原定截止时间不足15个日历日，则需顺延提交投标文件截止时间），</w:t>
      </w:r>
      <w:r>
        <w:rPr>
          <w:rFonts w:hint="eastAsia" w:ascii="宋体" w:hAnsi="宋体"/>
          <w:color w:val="auto"/>
          <w:sz w:val="24"/>
          <w:highlight w:val="none"/>
        </w:rPr>
        <w:t>招标代理机构</w:t>
      </w:r>
      <w:r>
        <w:rPr>
          <w:rFonts w:hint="eastAsia" w:ascii="宋体" w:hAnsi="宋体"/>
          <w:bCs/>
          <w:color w:val="auto"/>
          <w:sz w:val="24"/>
          <w:highlight w:val="none"/>
        </w:rPr>
        <w:t>可主动或依投标人要求澄清的问题而修改招标文件，应</w:t>
      </w:r>
      <w:r>
        <w:rPr>
          <w:rFonts w:hint="eastAsia" w:ascii="宋体" w:hAnsi="宋体"/>
          <w:color w:val="auto"/>
          <w:sz w:val="24"/>
          <w:highlight w:val="none"/>
        </w:rPr>
        <w:t>在原信息发布的媒体上发布更正公告，</w:t>
      </w:r>
      <w:r>
        <w:rPr>
          <w:rFonts w:hint="eastAsia" w:ascii="宋体" w:hAnsi="宋体"/>
          <w:bCs/>
          <w:color w:val="auto"/>
          <w:sz w:val="24"/>
          <w:highlight w:val="none"/>
        </w:rPr>
        <w:t>并以书面形式通知所有投标人，投标人在收到该通知后应立即以</w:t>
      </w:r>
      <w:r>
        <w:rPr>
          <w:rFonts w:hint="eastAsia" w:ascii="宋体" w:hAnsi="宋体"/>
          <w:bCs/>
          <w:color w:val="auto"/>
          <w:sz w:val="24"/>
          <w:highlight w:val="none"/>
          <w:lang w:eastAsia="zh-CN"/>
        </w:rPr>
        <w:t>电子邮件等</w:t>
      </w:r>
      <w:r>
        <w:rPr>
          <w:rFonts w:hint="eastAsia" w:ascii="宋体" w:hAnsi="宋体"/>
          <w:bCs/>
          <w:color w:val="auto"/>
          <w:sz w:val="24"/>
          <w:highlight w:val="none"/>
        </w:rPr>
        <w:t>形式予以确认。</w:t>
      </w:r>
      <w:r>
        <w:rPr>
          <w:rFonts w:hint="eastAsia" w:ascii="宋体" w:hAnsi="宋体"/>
          <w:color w:val="auto"/>
          <w:sz w:val="24"/>
          <w:highlight w:val="none"/>
        </w:rPr>
        <w:t>该修改内容为招标文件的组成部分，对投标人具有约束力。未确认或逾期确认的，视为已知悉更正公告内容。</w:t>
      </w:r>
    </w:p>
    <w:p w14:paraId="17B3A5AB">
      <w:pPr>
        <w:spacing w:line="360" w:lineRule="auto"/>
        <w:rPr>
          <w:rFonts w:hAnsi="宋体"/>
          <w:b/>
          <w:bCs/>
          <w:color w:val="auto"/>
          <w:sz w:val="36"/>
          <w:szCs w:val="36"/>
          <w:highlight w:val="none"/>
        </w:rPr>
      </w:pPr>
      <w:r>
        <w:rPr>
          <w:rFonts w:hint="eastAsia" w:ascii="宋体" w:hAnsi="宋体"/>
          <w:bCs/>
          <w:color w:val="auto"/>
          <w:sz w:val="24"/>
          <w:highlight w:val="none"/>
        </w:rPr>
        <w:t>7.2 招标采购单位可以视采购具体情况，延长投标截止时间和开标时间，将变更时间以书面形式通知所有招标文件收受</w:t>
      </w:r>
      <w:r>
        <w:rPr>
          <w:rFonts w:hint="eastAsia" w:ascii="宋体" w:hAnsi="宋体"/>
          <w:color w:val="auto"/>
          <w:sz w:val="24"/>
          <w:highlight w:val="none"/>
        </w:rPr>
        <w:t>人，并在投标邀请中注明的信息发布媒体上发布变更公告。该修改内容为招标文件的组成部分。在此情况下，招标人和投标人受投标截止期制约的所有权利和义务均相应延长至新的截止日期。</w:t>
      </w:r>
    </w:p>
    <w:p w14:paraId="4E2EE1E9">
      <w:pPr>
        <w:spacing w:line="400" w:lineRule="exact"/>
        <w:jc w:val="center"/>
        <w:outlineLvl w:val="1"/>
        <w:rPr>
          <w:rFonts w:ascii="宋体" w:hAnsi="宋体"/>
          <w:b/>
          <w:color w:val="auto"/>
          <w:sz w:val="36"/>
          <w:szCs w:val="36"/>
          <w:highlight w:val="none"/>
        </w:rPr>
      </w:pPr>
    </w:p>
    <w:p w14:paraId="0BD2FCC7">
      <w:pPr>
        <w:spacing w:line="400" w:lineRule="exact"/>
        <w:jc w:val="center"/>
        <w:outlineLvl w:val="1"/>
        <w:rPr>
          <w:rFonts w:ascii="宋体" w:hAnsi="宋体"/>
          <w:b/>
          <w:color w:val="auto"/>
          <w:sz w:val="36"/>
          <w:szCs w:val="36"/>
          <w:highlight w:val="none"/>
        </w:rPr>
      </w:pPr>
      <w:bookmarkStart w:id="44" w:name="_Toc20206"/>
      <w:r>
        <w:rPr>
          <w:rFonts w:hint="eastAsia" w:ascii="宋体" w:hAnsi="宋体"/>
          <w:b/>
          <w:color w:val="auto"/>
          <w:sz w:val="36"/>
          <w:szCs w:val="36"/>
          <w:highlight w:val="none"/>
        </w:rPr>
        <w:t>三、投标文件的编写</w:t>
      </w:r>
      <w:bookmarkEnd w:id="44"/>
    </w:p>
    <w:p w14:paraId="518D670D">
      <w:pPr>
        <w:spacing w:line="360" w:lineRule="auto"/>
        <w:outlineLvl w:val="2"/>
        <w:rPr>
          <w:rFonts w:ascii="宋体" w:hAnsi="宋体"/>
          <w:b/>
          <w:color w:val="auto"/>
          <w:sz w:val="24"/>
          <w:highlight w:val="none"/>
        </w:rPr>
      </w:pPr>
      <w:bookmarkStart w:id="45" w:name="_Toc2968"/>
      <w:bookmarkStart w:id="46" w:name="_Toc1957"/>
      <w:r>
        <w:rPr>
          <w:rFonts w:hint="eastAsia" w:ascii="宋体" w:hAnsi="宋体"/>
          <w:b/>
          <w:color w:val="auto"/>
          <w:sz w:val="24"/>
          <w:highlight w:val="none"/>
        </w:rPr>
        <w:t>8</w:t>
      </w:r>
      <w:r>
        <w:rPr>
          <w:rFonts w:ascii="宋体" w:hAnsi="宋体"/>
          <w:b/>
          <w:color w:val="auto"/>
          <w:sz w:val="24"/>
          <w:highlight w:val="none"/>
        </w:rPr>
        <w:t xml:space="preserve">. </w:t>
      </w:r>
      <w:r>
        <w:rPr>
          <w:rFonts w:hint="eastAsia" w:ascii="宋体" w:hAnsi="宋体"/>
          <w:b/>
          <w:color w:val="auto"/>
          <w:sz w:val="24"/>
          <w:highlight w:val="none"/>
        </w:rPr>
        <w:t>要求</w:t>
      </w:r>
      <w:bookmarkEnd w:id="45"/>
      <w:bookmarkEnd w:id="46"/>
    </w:p>
    <w:p w14:paraId="38AD7CE2">
      <w:pPr>
        <w:spacing w:line="360" w:lineRule="auto"/>
        <w:rPr>
          <w:rFonts w:ascii="宋体" w:hAnsi="宋体"/>
          <w:color w:val="auto"/>
          <w:sz w:val="24"/>
          <w:highlight w:val="none"/>
        </w:rPr>
      </w:pPr>
      <w:r>
        <w:rPr>
          <w:rFonts w:hint="eastAsia" w:ascii="宋体" w:hAnsi="宋体"/>
          <w:color w:val="auto"/>
          <w:sz w:val="24"/>
          <w:highlight w:val="none"/>
        </w:rPr>
        <w:t>8.1投标人应仔细阅读招标文件的所有内容，按照招标文件的要求提交投标文件。投标文件应对招标文件的要求做出实质性响应，并保证所提供的全部资料的真实性，否则其投标无效。</w:t>
      </w:r>
    </w:p>
    <w:p w14:paraId="56B519BE">
      <w:pPr>
        <w:spacing w:line="360" w:lineRule="auto"/>
        <w:rPr>
          <w:rFonts w:ascii="宋体" w:hAnsi="宋体"/>
          <w:color w:val="auto"/>
          <w:sz w:val="24"/>
          <w:highlight w:val="none"/>
        </w:rPr>
      </w:pPr>
      <w:r>
        <w:rPr>
          <w:rFonts w:hint="eastAsia" w:ascii="宋体" w:hAnsi="宋体"/>
          <w:color w:val="auto"/>
          <w:sz w:val="24"/>
          <w:highlight w:val="none"/>
        </w:rPr>
        <w:t>8.2 除非有另外的规定，投标人可对招标标的一览表所列的全部合同包或部分合同包进行投标。招标代理机构不接受有任何可选择性的报价，每一个合同包只能有一个报价。</w:t>
      </w:r>
    </w:p>
    <w:p w14:paraId="385E1EC4">
      <w:pPr>
        <w:spacing w:line="360" w:lineRule="auto"/>
        <w:outlineLvl w:val="2"/>
        <w:rPr>
          <w:rFonts w:ascii="宋体" w:hAnsi="宋体"/>
          <w:b/>
          <w:color w:val="auto"/>
          <w:sz w:val="24"/>
          <w:highlight w:val="none"/>
        </w:rPr>
      </w:pPr>
      <w:bookmarkStart w:id="47" w:name="_Toc11822"/>
      <w:bookmarkStart w:id="48" w:name="_Toc24831"/>
      <w:r>
        <w:rPr>
          <w:rFonts w:hint="eastAsia" w:ascii="宋体" w:hAnsi="宋体"/>
          <w:b/>
          <w:color w:val="auto"/>
          <w:sz w:val="24"/>
          <w:highlight w:val="none"/>
        </w:rPr>
        <w:t>9</w:t>
      </w:r>
      <w:r>
        <w:rPr>
          <w:rFonts w:ascii="宋体" w:hAnsi="宋体"/>
          <w:b/>
          <w:color w:val="auto"/>
          <w:sz w:val="24"/>
          <w:highlight w:val="none"/>
        </w:rPr>
        <w:t xml:space="preserve">. </w:t>
      </w:r>
      <w:r>
        <w:rPr>
          <w:rFonts w:hint="eastAsia" w:ascii="宋体" w:hAnsi="宋体"/>
          <w:b/>
          <w:color w:val="auto"/>
          <w:sz w:val="24"/>
          <w:highlight w:val="none"/>
        </w:rPr>
        <w:t>投标文件语言</w:t>
      </w:r>
      <w:bookmarkEnd w:id="47"/>
      <w:bookmarkEnd w:id="48"/>
    </w:p>
    <w:p w14:paraId="60731885">
      <w:pPr>
        <w:spacing w:line="360" w:lineRule="auto"/>
        <w:rPr>
          <w:rFonts w:ascii="宋体" w:hAnsi="宋体"/>
          <w:color w:val="auto"/>
          <w:sz w:val="24"/>
          <w:highlight w:val="none"/>
        </w:rPr>
      </w:pPr>
      <w:r>
        <w:rPr>
          <w:rFonts w:hint="eastAsia" w:ascii="宋体" w:hAnsi="宋体"/>
          <w:color w:val="auto"/>
          <w:sz w:val="24"/>
          <w:highlight w:val="none"/>
        </w:rPr>
        <w:t>9.1投标文件应用中文书写。投标文件中所附或所引用的原件不是中文时，必须提供具有翻译资质的机构翻译的中文译本。翻译机构应为中国翻译协会成员单位，翻译的中文译本应由翻译人员签名并加盖翻译机构公章，同时提供翻译人员翻译资格证书。投标人投标时提供的中文译本、翻译机构及翻译人员资格证书可为复印件，并加盖投标人公章。各种计量单位及符号应采用国际上统一使用的公制计量单位和符号。</w:t>
      </w:r>
    </w:p>
    <w:p w14:paraId="6A83C137">
      <w:pPr>
        <w:adjustRightInd w:val="0"/>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※中文译本未按上述要求提供的，认定为该项资格或技术商务的证明文件/材料无效，即该项资格或技术商务要求不符合。</w:t>
      </w:r>
    </w:p>
    <w:p w14:paraId="19AA31E7">
      <w:pPr>
        <w:spacing w:line="360" w:lineRule="auto"/>
        <w:outlineLvl w:val="2"/>
        <w:rPr>
          <w:rFonts w:ascii="宋体" w:hAnsi="宋体"/>
          <w:b/>
          <w:color w:val="auto"/>
          <w:sz w:val="24"/>
          <w:highlight w:val="none"/>
        </w:rPr>
      </w:pPr>
      <w:bookmarkStart w:id="49" w:name="_Toc30904"/>
      <w:bookmarkStart w:id="50" w:name="_Toc9526"/>
      <w:r>
        <w:rPr>
          <w:rFonts w:hint="eastAsia" w:ascii="宋体" w:hAnsi="宋体"/>
          <w:b/>
          <w:color w:val="auto"/>
          <w:sz w:val="24"/>
          <w:highlight w:val="none"/>
        </w:rPr>
        <w:t>10</w:t>
      </w:r>
      <w:r>
        <w:rPr>
          <w:rFonts w:ascii="宋体" w:hAnsi="宋体"/>
          <w:b/>
          <w:color w:val="auto"/>
          <w:sz w:val="24"/>
          <w:highlight w:val="none"/>
        </w:rPr>
        <w:t xml:space="preserve">. </w:t>
      </w:r>
      <w:r>
        <w:rPr>
          <w:rFonts w:hint="eastAsia" w:ascii="宋体" w:hAnsi="宋体"/>
          <w:b/>
          <w:color w:val="auto"/>
          <w:sz w:val="24"/>
          <w:highlight w:val="none"/>
        </w:rPr>
        <w:t>投标文件的组成</w:t>
      </w:r>
      <w:bookmarkEnd w:id="49"/>
      <w:bookmarkEnd w:id="50"/>
    </w:p>
    <w:p w14:paraId="1DA1E770">
      <w:pPr>
        <w:spacing w:line="360" w:lineRule="auto"/>
        <w:rPr>
          <w:rFonts w:ascii="宋体" w:hAnsi="宋体"/>
          <w:b/>
          <w:color w:val="auto"/>
          <w:sz w:val="24"/>
          <w:highlight w:val="none"/>
        </w:rPr>
      </w:pPr>
      <w:r>
        <w:rPr>
          <w:rFonts w:hint="eastAsia" w:ascii="宋体" w:hAnsi="宋体"/>
          <w:b/>
          <w:color w:val="auto"/>
          <w:sz w:val="24"/>
          <w:highlight w:val="none"/>
        </w:rPr>
        <w:t>10.1技术商务部分应包括下列部分：（单独编制、胶装成册并密封）</w:t>
      </w:r>
    </w:p>
    <w:p w14:paraId="0E042915">
      <w:pPr>
        <w:spacing w:line="360" w:lineRule="auto"/>
        <w:rPr>
          <w:rFonts w:ascii="宋体" w:hAnsi="宋体" w:cs="宋体"/>
          <w:bCs/>
          <w:color w:val="auto"/>
          <w:sz w:val="24"/>
          <w:highlight w:val="none"/>
        </w:rPr>
      </w:pPr>
      <w:r>
        <w:rPr>
          <w:rFonts w:hint="eastAsia" w:ascii="宋体" w:hAnsi="宋体" w:cs="宋体"/>
          <w:bCs/>
          <w:color w:val="auto"/>
          <w:sz w:val="24"/>
          <w:highlight w:val="none"/>
        </w:rPr>
        <w:t>一、投标人的资格证明文件</w:t>
      </w:r>
    </w:p>
    <w:p w14:paraId="09DA8078">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1、投标函</w:t>
      </w:r>
    </w:p>
    <w:p w14:paraId="0012EE7B">
      <w:pPr>
        <w:spacing w:line="360" w:lineRule="auto"/>
        <w:rPr>
          <w:rFonts w:ascii="宋体" w:hAnsi="宋体" w:cs="宋体"/>
          <w:bCs/>
          <w:color w:val="auto"/>
          <w:sz w:val="24"/>
          <w:highlight w:val="none"/>
        </w:rPr>
      </w:pPr>
      <w:r>
        <w:rPr>
          <w:rFonts w:hint="eastAsia" w:ascii="宋体" w:hAnsi="宋体" w:cs="宋体"/>
          <w:bCs/>
          <w:color w:val="auto"/>
          <w:sz w:val="24"/>
          <w:highlight w:val="none"/>
        </w:rPr>
        <w:t>2、关于资格的声明函</w:t>
      </w:r>
    </w:p>
    <w:p w14:paraId="5CA13C41">
      <w:pPr>
        <w:spacing w:line="360" w:lineRule="auto"/>
        <w:rPr>
          <w:rFonts w:ascii="宋体" w:hAnsi="宋体" w:cs="宋体"/>
          <w:bCs/>
          <w:color w:val="auto"/>
          <w:sz w:val="24"/>
          <w:highlight w:val="none"/>
        </w:rPr>
      </w:pPr>
      <w:r>
        <w:rPr>
          <w:rFonts w:hint="eastAsia" w:ascii="宋体" w:hAnsi="宋体" w:cs="宋体"/>
          <w:bCs/>
          <w:color w:val="auto"/>
          <w:sz w:val="24"/>
          <w:highlight w:val="none"/>
        </w:rPr>
        <w:t>3、投标人的资格声明</w:t>
      </w:r>
    </w:p>
    <w:p w14:paraId="5608F147">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4、投标人的资格证明材料</w:t>
      </w:r>
    </w:p>
    <w:p w14:paraId="52A634A3">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4.1合格有效的营业执照复印件</w:t>
      </w:r>
    </w:p>
    <w:p w14:paraId="26DEF259">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4.2</w:t>
      </w:r>
      <w:r>
        <w:rPr>
          <w:rFonts w:hint="eastAsia" w:hAnsi="宋体" w:cs="宋体"/>
          <w:bCs/>
          <w:color w:val="auto"/>
          <w:sz w:val="24"/>
          <w:highlight w:val="none"/>
          <w:lang w:eastAsia="zh-CN"/>
        </w:rPr>
        <w:t>法定代表人</w:t>
      </w:r>
      <w:r>
        <w:rPr>
          <w:rFonts w:hint="eastAsia" w:hAnsi="宋体" w:cs="宋体"/>
          <w:bCs/>
          <w:color w:val="auto"/>
          <w:sz w:val="24"/>
          <w:highlight w:val="none"/>
        </w:rPr>
        <w:t>授权书</w:t>
      </w:r>
    </w:p>
    <w:p w14:paraId="1B501E07">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4.3投标人财务状况报告、依法缴纳税收和社会保障资金的相关材料</w:t>
      </w:r>
    </w:p>
    <w:p w14:paraId="26D92094">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4.4声明函及承诺函</w:t>
      </w:r>
    </w:p>
    <w:p w14:paraId="32D151F0">
      <w:pPr>
        <w:spacing w:line="360" w:lineRule="auto"/>
        <w:rPr>
          <w:rFonts w:ascii="宋体" w:hAnsi="宋体" w:cs="宋体"/>
          <w:bCs/>
          <w:color w:val="auto"/>
          <w:sz w:val="24"/>
          <w:highlight w:val="none"/>
        </w:rPr>
      </w:pPr>
      <w:r>
        <w:rPr>
          <w:rFonts w:hint="eastAsia" w:ascii="宋体" w:hAnsi="宋体" w:cs="宋体"/>
          <w:bCs/>
          <w:color w:val="auto"/>
          <w:sz w:val="24"/>
          <w:highlight w:val="none"/>
        </w:rPr>
        <w:t>4.5投标人廉政承诺书</w:t>
      </w:r>
    </w:p>
    <w:p w14:paraId="46FA465E">
      <w:pPr>
        <w:spacing w:line="360" w:lineRule="auto"/>
        <w:rPr>
          <w:rFonts w:ascii="宋体" w:hAnsi="宋体" w:cs="宋体"/>
          <w:bCs/>
          <w:color w:val="auto"/>
          <w:sz w:val="24"/>
          <w:highlight w:val="none"/>
        </w:rPr>
      </w:pPr>
      <w:r>
        <w:rPr>
          <w:rFonts w:hint="eastAsia" w:ascii="宋体" w:hAnsi="宋体" w:cs="宋体"/>
          <w:bCs/>
          <w:color w:val="auto"/>
          <w:sz w:val="24"/>
          <w:highlight w:val="none"/>
        </w:rPr>
        <w:t>4.6招标服务费承诺书</w:t>
      </w:r>
    </w:p>
    <w:p w14:paraId="69DF8CB0">
      <w:pPr>
        <w:spacing w:line="360" w:lineRule="auto"/>
        <w:rPr>
          <w:rFonts w:ascii="宋体" w:hAnsi="宋体" w:cs="宋体"/>
          <w:bCs/>
          <w:color w:val="auto"/>
          <w:sz w:val="24"/>
          <w:highlight w:val="none"/>
        </w:rPr>
      </w:pPr>
      <w:r>
        <w:rPr>
          <w:rFonts w:hint="eastAsia" w:ascii="宋体" w:hAnsi="宋体" w:cs="宋体"/>
          <w:bCs/>
          <w:color w:val="auto"/>
          <w:sz w:val="24"/>
          <w:highlight w:val="none"/>
        </w:rPr>
        <w:t>4.7投标保证金复印件</w:t>
      </w:r>
    </w:p>
    <w:p w14:paraId="0DB5FE44">
      <w:pPr>
        <w:spacing w:line="360" w:lineRule="auto"/>
        <w:rPr>
          <w:rFonts w:ascii="宋体" w:hAnsi="宋体" w:cs="宋体"/>
          <w:bCs/>
          <w:color w:val="auto"/>
          <w:sz w:val="24"/>
          <w:highlight w:val="none"/>
        </w:rPr>
      </w:pPr>
      <w:r>
        <w:rPr>
          <w:rFonts w:hint="eastAsia" w:ascii="宋体" w:hAnsi="宋体" w:cs="宋体"/>
          <w:bCs/>
          <w:color w:val="auto"/>
          <w:sz w:val="24"/>
          <w:highlight w:val="none"/>
        </w:rPr>
        <w:t>4.8招标文件规定的其他资格证明材料</w:t>
      </w:r>
    </w:p>
    <w:p w14:paraId="32783A0D">
      <w:pPr>
        <w:spacing w:line="360" w:lineRule="auto"/>
        <w:rPr>
          <w:rFonts w:ascii="宋体" w:hAnsi="宋体" w:cs="宋体"/>
          <w:bCs/>
          <w:color w:val="auto"/>
          <w:sz w:val="24"/>
          <w:highlight w:val="none"/>
        </w:rPr>
      </w:pPr>
      <w:r>
        <w:rPr>
          <w:rFonts w:hint="eastAsia" w:ascii="宋体" w:hAnsi="宋体" w:cs="宋体"/>
          <w:bCs/>
          <w:color w:val="auto"/>
          <w:sz w:val="24"/>
          <w:highlight w:val="none"/>
        </w:rPr>
        <w:t>二、技术商务部分</w:t>
      </w:r>
    </w:p>
    <w:p w14:paraId="2B381D6A">
      <w:pPr>
        <w:pStyle w:val="17"/>
        <w:spacing w:before="0" w:beforeAutospacing="0" w:after="0" w:afterAutospacing="0" w:line="360" w:lineRule="auto"/>
        <w:rPr>
          <w:bCs/>
          <w:color w:val="auto"/>
          <w:highlight w:val="none"/>
        </w:rPr>
      </w:pPr>
      <w:r>
        <w:rPr>
          <w:rFonts w:hint="eastAsia"/>
          <w:bCs/>
          <w:color w:val="auto"/>
          <w:highlight w:val="none"/>
        </w:rPr>
        <w:t>1</w:t>
      </w:r>
      <w:r>
        <w:rPr>
          <w:rFonts w:hint="eastAsia"/>
          <w:bCs/>
          <w:color w:val="auto"/>
          <w:highlight w:val="none"/>
          <w:lang w:val="en-US" w:eastAsia="zh-CN"/>
        </w:rPr>
        <w:t>.</w:t>
      </w:r>
      <w:r>
        <w:rPr>
          <w:rFonts w:hint="eastAsia"/>
          <w:bCs/>
          <w:color w:val="auto"/>
          <w:highlight w:val="none"/>
        </w:rPr>
        <w:t>标的说明一览表</w:t>
      </w:r>
    </w:p>
    <w:p w14:paraId="5BBAA6E9">
      <w:pPr>
        <w:pStyle w:val="17"/>
        <w:spacing w:before="0" w:beforeAutospacing="0" w:after="0" w:afterAutospacing="0" w:line="360" w:lineRule="auto"/>
        <w:rPr>
          <w:bCs/>
          <w:color w:val="auto"/>
          <w:highlight w:val="none"/>
        </w:rPr>
      </w:pPr>
      <w:r>
        <w:rPr>
          <w:rFonts w:hint="eastAsia"/>
          <w:bCs/>
          <w:color w:val="auto"/>
          <w:highlight w:val="none"/>
        </w:rPr>
        <w:t>2</w:t>
      </w:r>
      <w:r>
        <w:rPr>
          <w:rFonts w:hint="eastAsia"/>
          <w:bCs/>
          <w:color w:val="auto"/>
          <w:highlight w:val="none"/>
          <w:lang w:val="en-US" w:eastAsia="zh-CN"/>
        </w:rPr>
        <w:t>.</w:t>
      </w:r>
      <w:r>
        <w:rPr>
          <w:rFonts w:hint="eastAsia"/>
          <w:bCs/>
          <w:color w:val="auto"/>
          <w:highlight w:val="none"/>
        </w:rPr>
        <w:t>技术和服务要求响应表</w:t>
      </w:r>
    </w:p>
    <w:p w14:paraId="11D09300">
      <w:pPr>
        <w:pStyle w:val="17"/>
        <w:spacing w:before="0" w:beforeAutospacing="0" w:after="0" w:afterAutospacing="0" w:line="360" w:lineRule="auto"/>
        <w:rPr>
          <w:bCs/>
          <w:color w:val="auto"/>
          <w:highlight w:val="none"/>
        </w:rPr>
      </w:pPr>
      <w:r>
        <w:rPr>
          <w:rFonts w:hint="eastAsia"/>
          <w:bCs/>
          <w:color w:val="auto"/>
          <w:highlight w:val="none"/>
        </w:rPr>
        <w:t>3</w:t>
      </w:r>
      <w:r>
        <w:rPr>
          <w:rFonts w:hint="eastAsia"/>
          <w:bCs/>
          <w:color w:val="auto"/>
          <w:highlight w:val="none"/>
          <w:lang w:val="en-US" w:eastAsia="zh-CN"/>
        </w:rPr>
        <w:t>.</w:t>
      </w:r>
      <w:r>
        <w:rPr>
          <w:rFonts w:hint="eastAsia"/>
          <w:bCs/>
          <w:color w:val="auto"/>
          <w:highlight w:val="none"/>
        </w:rPr>
        <w:t>商务条件响应表</w:t>
      </w:r>
    </w:p>
    <w:p w14:paraId="54F918E2">
      <w:pPr>
        <w:spacing w:line="360" w:lineRule="auto"/>
        <w:rPr>
          <w:color w:val="auto"/>
          <w:highlight w:val="none"/>
        </w:rPr>
      </w:pPr>
      <w:r>
        <w:rPr>
          <w:rFonts w:hint="eastAsia" w:ascii="宋体" w:hAnsi="宋体" w:cs="宋体"/>
          <w:bCs/>
          <w:color w:val="auto"/>
          <w:sz w:val="24"/>
          <w:highlight w:val="none"/>
        </w:rPr>
        <w:t>4</w:t>
      </w:r>
      <w:r>
        <w:rPr>
          <w:rFonts w:hint="eastAsia" w:ascii="宋体" w:hAnsi="宋体" w:cs="宋体"/>
          <w:bCs/>
          <w:color w:val="auto"/>
          <w:sz w:val="24"/>
          <w:highlight w:val="none"/>
          <w:lang w:val="en-US" w:eastAsia="zh-CN"/>
        </w:rPr>
        <w:t>.</w:t>
      </w:r>
      <w:r>
        <w:rPr>
          <w:rFonts w:hint="eastAsia" w:ascii="宋体" w:hAnsi="宋体" w:cs="宋体"/>
          <w:bCs/>
          <w:color w:val="auto"/>
          <w:sz w:val="24"/>
          <w:highlight w:val="none"/>
        </w:rPr>
        <w:t>投标人认为应提交的其他资料</w:t>
      </w:r>
    </w:p>
    <w:p w14:paraId="78168854">
      <w:pPr>
        <w:spacing w:line="360" w:lineRule="auto"/>
        <w:rPr>
          <w:rFonts w:ascii="宋体" w:hAnsi="宋体"/>
          <w:b/>
          <w:color w:val="auto"/>
          <w:sz w:val="24"/>
          <w:highlight w:val="none"/>
        </w:rPr>
      </w:pPr>
      <w:r>
        <w:rPr>
          <w:rFonts w:hint="eastAsia" w:ascii="宋体" w:hAnsi="宋体"/>
          <w:b/>
          <w:color w:val="auto"/>
          <w:sz w:val="24"/>
          <w:highlight w:val="none"/>
        </w:rPr>
        <w:t>10.2报价部分应包括下列部分：（单独编制、胶装成册并密封）</w:t>
      </w:r>
    </w:p>
    <w:p w14:paraId="3550863A">
      <w:pPr>
        <w:pStyle w:val="35"/>
        <w:numPr>
          <w:ilvl w:val="0"/>
          <w:numId w:val="0"/>
        </w:numPr>
        <w:spacing w:line="360" w:lineRule="auto"/>
        <w:jc w:val="left"/>
        <w:outlineLvl w:val="9"/>
        <w:rPr>
          <w:rFonts w:hAnsi="宋体" w:cs="宋体"/>
          <w:bCs/>
          <w:color w:val="auto"/>
          <w:sz w:val="24"/>
          <w:highlight w:val="none"/>
        </w:rPr>
      </w:pPr>
      <w:r>
        <w:rPr>
          <w:rFonts w:ascii="宋体" w:hAnsi="宋体" w:eastAsia="宋体" w:cs="宋体"/>
          <w:bCs/>
          <w:color w:val="auto"/>
          <w:kern w:val="2"/>
          <w:sz w:val="24"/>
          <w:szCs w:val="24"/>
          <w:highlight w:val="none"/>
          <w:lang w:val="en-US" w:eastAsia="zh-CN" w:bidi="ar-SA"/>
        </w:rPr>
        <w:t>1.</w:t>
      </w:r>
      <w:r>
        <w:rPr>
          <w:rFonts w:hint="eastAsia" w:hAnsi="宋体" w:cs="宋体"/>
          <w:bCs/>
          <w:color w:val="auto"/>
          <w:sz w:val="24"/>
          <w:highlight w:val="none"/>
        </w:rPr>
        <w:t>开标一览表</w:t>
      </w:r>
    </w:p>
    <w:p w14:paraId="59B553F8">
      <w:pPr>
        <w:spacing w:line="360" w:lineRule="auto"/>
        <w:rPr>
          <w:rFonts w:ascii="宋体" w:hAnsi="宋体" w:cs="Tahoma"/>
          <w:b/>
          <w:color w:val="auto"/>
          <w:kern w:val="0"/>
          <w:sz w:val="24"/>
          <w:highlight w:val="none"/>
        </w:rPr>
      </w:pPr>
      <w:r>
        <w:rPr>
          <w:rFonts w:hint="eastAsia" w:ascii="宋体" w:hAnsi="宋体"/>
          <w:b/>
          <w:color w:val="auto"/>
          <w:sz w:val="24"/>
          <w:highlight w:val="none"/>
        </w:rPr>
        <w:t>10.3</w:t>
      </w:r>
      <w:r>
        <w:rPr>
          <w:rFonts w:hint="eastAsia" w:ascii="宋体" w:hAnsi="宋体" w:cs="Tahoma"/>
          <w:b/>
          <w:color w:val="auto"/>
          <w:kern w:val="0"/>
          <w:sz w:val="24"/>
          <w:highlight w:val="none"/>
        </w:rPr>
        <w:t>特别提示：</w:t>
      </w:r>
    </w:p>
    <w:p w14:paraId="674EFB06">
      <w:pPr>
        <w:spacing w:line="360" w:lineRule="auto"/>
        <w:rPr>
          <w:rFonts w:ascii="宋体" w:hAnsi="宋体"/>
          <w:b/>
          <w:color w:val="auto"/>
          <w:sz w:val="24"/>
          <w:highlight w:val="none"/>
          <w:u w:val="double"/>
        </w:rPr>
      </w:pPr>
      <w:r>
        <w:rPr>
          <w:rFonts w:ascii="宋体" w:hAnsi="宋体" w:cs="Tahoma"/>
          <w:b/>
          <w:color w:val="auto"/>
          <w:kern w:val="0"/>
          <w:sz w:val="24"/>
          <w:highlight w:val="none"/>
          <w:u w:val="double"/>
        </w:rPr>
        <w:t>（</w:t>
      </w:r>
      <w:r>
        <w:rPr>
          <w:rFonts w:hint="eastAsia" w:ascii="宋体" w:hAnsi="宋体" w:cs="Tahoma"/>
          <w:b/>
          <w:color w:val="auto"/>
          <w:kern w:val="0"/>
          <w:sz w:val="24"/>
          <w:highlight w:val="none"/>
          <w:u w:val="double"/>
        </w:rPr>
        <w:t>1</w:t>
      </w:r>
      <w:r>
        <w:rPr>
          <w:rFonts w:ascii="宋体" w:hAnsi="宋体" w:cs="Tahoma"/>
          <w:b/>
          <w:color w:val="auto"/>
          <w:kern w:val="0"/>
          <w:sz w:val="24"/>
          <w:highlight w:val="none"/>
          <w:u w:val="double"/>
        </w:rPr>
        <w:t>）</w:t>
      </w:r>
      <w:r>
        <w:rPr>
          <w:rFonts w:hint="eastAsia" w:ascii="宋体" w:hAnsi="宋体"/>
          <w:b/>
          <w:color w:val="auto"/>
          <w:sz w:val="24"/>
          <w:highlight w:val="none"/>
          <w:u w:val="double"/>
        </w:rPr>
        <w:t>本项目实行两阶段评标。各投标人提交的投标文件应由技术商务部分和报价部分两部分组成，投标人必须将技术商务部分和报价部分分别单独胶装，密封投标，且技术商务部分中不得出现投标报价的信息，否则将被视为无效投标。</w:t>
      </w:r>
    </w:p>
    <w:p w14:paraId="1E2F3FA9">
      <w:pPr>
        <w:spacing w:line="480" w:lineRule="exact"/>
        <w:outlineLvl w:val="2"/>
        <w:rPr>
          <w:rFonts w:ascii="宋体" w:hAnsi="宋体"/>
          <w:b/>
          <w:color w:val="auto"/>
          <w:sz w:val="24"/>
          <w:highlight w:val="none"/>
        </w:rPr>
      </w:pPr>
      <w:bookmarkStart w:id="51" w:name="_Toc13302"/>
      <w:bookmarkStart w:id="52" w:name="_Toc10791"/>
      <w:r>
        <w:rPr>
          <w:rFonts w:hint="eastAsia" w:ascii="宋体" w:hAnsi="宋体"/>
          <w:b/>
          <w:color w:val="auto"/>
          <w:sz w:val="24"/>
          <w:highlight w:val="none"/>
        </w:rPr>
        <w:t>11</w:t>
      </w:r>
      <w:r>
        <w:rPr>
          <w:rFonts w:ascii="宋体" w:hAnsi="宋体"/>
          <w:b/>
          <w:color w:val="auto"/>
          <w:sz w:val="24"/>
          <w:highlight w:val="none"/>
        </w:rPr>
        <w:t xml:space="preserve">. </w:t>
      </w:r>
      <w:r>
        <w:rPr>
          <w:rFonts w:hint="eastAsia" w:ascii="宋体" w:hAnsi="宋体"/>
          <w:b/>
          <w:color w:val="auto"/>
          <w:sz w:val="24"/>
          <w:highlight w:val="none"/>
        </w:rPr>
        <w:t>投标有效期</w:t>
      </w:r>
      <w:bookmarkEnd w:id="51"/>
      <w:bookmarkEnd w:id="52"/>
    </w:p>
    <w:p w14:paraId="534623EA">
      <w:pPr>
        <w:spacing w:line="480" w:lineRule="exact"/>
        <w:rPr>
          <w:rFonts w:ascii="宋体" w:hAnsi="宋体"/>
          <w:color w:val="auto"/>
          <w:sz w:val="24"/>
          <w:highlight w:val="none"/>
        </w:rPr>
      </w:pPr>
      <w:r>
        <w:rPr>
          <w:rFonts w:hint="eastAsia" w:ascii="宋体" w:hAnsi="宋体"/>
          <w:color w:val="auto"/>
          <w:sz w:val="24"/>
          <w:highlight w:val="none"/>
        </w:rPr>
        <w:t>11.1投标文件从</w:t>
      </w:r>
      <w:r>
        <w:rPr>
          <w:rFonts w:hint="eastAsia" w:ascii="宋体" w:hAnsi="宋体"/>
          <w:bCs/>
          <w:color w:val="auto"/>
          <w:sz w:val="24"/>
          <w:highlight w:val="none"/>
        </w:rPr>
        <w:t>投标人须知前附表</w:t>
      </w:r>
      <w:r>
        <w:rPr>
          <w:rFonts w:hint="eastAsia" w:ascii="宋体" w:hAnsi="宋体"/>
          <w:color w:val="auto"/>
          <w:sz w:val="24"/>
          <w:highlight w:val="none"/>
        </w:rPr>
        <w:t>第4项所规定的投标截止期之后开始生效，在</w:t>
      </w:r>
      <w:r>
        <w:rPr>
          <w:rFonts w:hint="eastAsia" w:ascii="宋体" w:hAnsi="宋体"/>
          <w:bCs/>
          <w:color w:val="auto"/>
          <w:sz w:val="24"/>
          <w:highlight w:val="none"/>
        </w:rPr>
        <w:t>投标人须知前附表</w:t>
      </w:r>
      <w:r>
        <w:rPr>
          <w:rFonts w:hint="eastAsia" w:ascii="宋体" w:hAnsi="宋体"/>
          <w:color w:val="auto"/>
          <w:sz w:val="24"/>
          <w:highlight w:val="none"/>
        </w:rPr>
        <w:t>第</w:t>
      </w:r>
      <w:r>
        <w:rPr>
          <w:rFonts w:ascii="宋体" w:hAnsi="宋体"/>
          <w:color w:val="auto"/>
          <w:sz w:val="24"/>
          <w:highlight w:val="none"/>
        </w:rPr>
        <w:t>3</w:t>
      </w:r>
      <w:r>
        <w:rPr>
          <w:rFonts w:hint="eastAsia" w:ascii="宋体" w:hAnsi="宋体"/>
          <w:color w:val="auto"/>
          <w:sz w:val="24"/>
          <w:highlight w:val="none"/>
        </w:rPr>
        <w:t>项所规定的期限内保持有效。有效期不足将导致其投标文件无效。</w:t>
      </w:r>
    </w:p>
    <w:p w14:paraId="161FB9C0">
      <w:pPr>
        <w:spacing w:line="480" w:lineRule="exact"/>
        <w:rPr>
          <w:rFonts w:ascii="宋体" w:hAnsi="宋体"/>
          <w:color w:val="auto"/>
          <w:sz w:val="24"/>
          <w:highlight w:val="none"/>
        </w:rPr>
      </w:pPr>
      <w:r>
        <w:rPr>
          <w:rFonts w:hint="eastAsia" w:ascii="宋体" w:hAnsi="宋体"/>
          <w:color w:val="auto"/>
          <w:sz w:val="24"/>
          <w:highlight w:val="none"/>
        </w:rPr>
        <w:t>11.2特殊情况下招标代理机构可于投标有效期满之前书面要求投标人同意延长有效期，投标人应在招标代理机构规定的期限内以书面形式予以答复。投标人可以拒绝上述要求而其投标保证金可按规定予以退还。投标人答复不明确或者逾期未答复的，均视为拒绝上述要求。对于接受该要求的投标人，既不要求也不允许其修改投标文件，但将要求其相应延长投标保证金有效期，有关退还或不予退还投标保证金的规定在投标有效期延长期内继续有效。</w:t>
      </w:r>
    </w:p>
    <w:p w14:paraId="0DFA1A09">
      <w:pPr>
        <w:spacing w:line="480" w:lineRule="exact"/>
        <w:outlineLvl w:val="2"/>
        <w:rPr>
          <w:rFonts w:ascii="宋体" w:hAnsi="宋体"/>
          <w:b/>
          <w:color w:val="auto"/>
          <w:sz w:val="24"/>
          <w:highlight w:val="none"/>
        </w:rPr>
      </w:pPr>
      <w:bookmarkStart w:id="53" w:name="_Toc8035"/>
      <w:bookmarkStart w:id="54" w:name="_Toc23661"/>
      <w:r>
        <w:rPr>
          <w:rFonts w:hint="eastAsia" w:ascii="宋体" w:hAnsi="宋体"/>
          <w:b/>
          <w:color w:val="auto"/>
          <w:sz w:val="24"/>
          <w:highlight w:val="none"/>
        </w:rPr>
        <w:t>12. 投标保证金</w:t>
      </w:r>
      <w:bookmarkEnd w:id="53"/>
      <w:bookmarkEnd w:id="54"/>
    </w:p>
    <w:p w14:paraId="6D5B434C">
      <w:pPr>
        <w:spacing w:line="480" w:lineRule="exact"/>
        <w:rPr>
          <w:rFonts w:ascii="宋体" w:hAnsi="宋体"/>
          <w:color w:val="auto"/>
          <w:sz w:val="24"/>
          <w:highlight w:val="none"/>
        </w:rPr>
      </w:pPr>
      <w:r>
        <w:rPr>
          <w:rFonts w:hint="eastAsia" w:ascii="宋体" w:hAnsi="宋体"/>
          <w:color w:val="auto"/>
          <w:sz w:val="24"/>
          <w:highlight w:val="none"/>
        </w:rPr>
        <w:t>12.1 投标保证金为投标文件的组成部分之一。</w:t>
      </w:r>
    </w:p>
    <w:p w14:paraId="3CB5CF13">
      <w:pPr>
        <w:spacing w:line="480" w:lineRule="exact"/>
        <w:rPr>
          <w:rFonts w:ascii="宋体" w:hAnsi="宋体"/>
          <w:color w:val="auto"/>
          <w:sz w:val="24"/>
          <w:highlight w:val="none"/>
        </w:rPr>
      </w:pPr>
      <w:r>
        <w:rPr>
          <w:rFonts w:hint="eastAsia" w:ascii="宋体" w:hAnsi="宋体"/>
          <w:color w:val="auto"/>
          <w:sz w:val="24"/>
          <w:highlight w:val="none"/>
        </w:rPr>
        <w:t>12.2 投标人应在提交投标文件之前向招标代理机构缴交投标人须知前附表第6项要求的投标保证金。</w:t>
      </w:r>
    </w:p>
    <w:p w14:paraId="75CD835F">
      <w:pPr>
        <w:spacing w:line="480" w:lineRule="exact"/>
        <w:rPr>
          <w:rFonts w:ascii="宋体" w:hAnsi="宋体"/>
          <w:color w:val="auto"/>
          <w:sz w:val="24"/>
          <w:highlight w:val="none"/>
        </w:rPr>
      </w:pPr>
      <w:r>
        <w:rPr>
          <w:rFonts w:hint="eastAsia" w:ascii="宋体" w:hAnsi="宋体"/>
          <w:color w:val="auto"/>
          <w:sz w:val="24"/>
          <w:highlight w:val="none"/>
        </w:rPr>
        <w:t>12.3 投标保证金用于保护本次招标活动免受投标人的行为而引起的风险。</w:t>
      </w:r>
    </w:p>
    <w:p w14:paraId="15B164D5">
      <w:pPr>
        <w:spacing w:line="480" w:lineRule="exact"/>
        <w:rPr>
          <w:rFonts w:ascii="宋体" w:hAnsi="宋体"/>
          <w:color w:val="auto"/>
          <w:sz w:val="24"/>
          <w:highlight w:val="none"/>
        </w:rPr>
      </w:pPr>
      <w:r>
        <w:rPr>
          <w:rFonts w:hint="eastAsia" w:ascii="宋体" w:hAnsi="宋体"/>
          <w:color w:val="auto"/>
          <w:sz w:val="24"/>
          <w:highlight w:val="none"/>
        </w:rPr>
        <w:t>12.4 投标保证金以转账、电汇等非现金形式提交。</w:t>
      </w:r>
    </w:p>
    <w:p w14:paraId="0B170041">
      <w:pPr>
        <w:spacing w:line="480" w:lineRule="exact"/>
        <w:rPr>
          <w:rFonts w:ascii="宋体" w:hAnsi="宋体"/>
          <w:color w:val="auto"/>
          <w:sz w:val="24"/>
          <w:highlight w:val="none"/>
        </w:rPr>
      </w:pPr>
      <w:r>
        <w:rPr>
          <w:rFonts w:hint="eastAsia" w:ascii="宋体" w:hAnsi="宋体"/>
          <w:color w:val="auto"/>
          <w:sz w:val="24"/>
          <w:highlight w:val="none"/>
        </w:rPr>
        <w:t>12.5 未按规定缴交投标保证金的投标，其将被视为未实质性响应招标文件要求，按无效投标处理。</w:t>
      </w:r>
    </w:p>
    <w:p w14:paraId="38AB9891">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12.6招标代理机构</w:t>
      </w:r>
      <w:r>
        <w:rPr>
          <w:rFonts w:ascii="宋体" w:hAnsi="宋体"/>
          <w:color w:val="auto"/>
          <w:sz w:val="24"/>
          <w:highlight w:val="none"/>
        </w:rPr>
        <w:t>将在</w:t>
      </w:r>
      <w:r>
        <w:rPr>
          <w:rFonts w:hint="eastAsia" w:ascii="宋体" w:hAnsi="宋体"/>
          <w:color w:val="auto"/>
          <w:sz w:val="24"/>
          <w:highlight w:val="none"/>
        </w:rPr>
        <w:t>中标通知书发出之日起五个工作日内退还</w:t>
      </w:r>
      <w:r>
        <w:rPr>
          <w:rFonts w:ascii="宋体" w:hAnsi="宋体"/>
          <w:color w:val="auto"/>
          <w:sz w:val="24"/>
          <w:highlight w:val="none"/>
        </w:rPr>
        <w:t>中标人</w:t>
      </w:r>
      <w:r>
        <w:rPr>
          <w:rFonts w:hint="eastAsia" w:ascii="宋体" w:hAnsi="宋体"/>
          <w:color w:val="auto"/>
          <w:sz w:val="24"/>
          <w:highlight w:val="none"/>
        </w:rPr>
        <w:t>以外</w:t>
      </w:r>
      <w:r>
        <w:rPr>
          <w:rFonts w:ascii="宋体" w:hAnsi="宋体"/>
          <w:color w:val="auto"/>
          <w:sz w:val="24"/>
          <w:highlight w:val="none"/>
        </w:rPr>
        <w:t>的</w:t>
      </w:r>
      <w:r>
        <w:rPr>
          <w:rFonts w:hint="eastAsia" w:ascii="宋体" w:hAnsi="宋体"/>
          <w:color w:val="auto"/>
          <w:sz w:val="24"/>
          <w:highlight w:val="none"/>
        </w:rPr>
        <w:t>投标人</w:t>
      </w:r>
      <w:r>
        <w:rPr>
          <w:rFonts w:ascii="宋体" w:hAnsi="宋体"/>
          <w:color w:val="auto"/>
          <w:sz w:val="24"/>
          <w:highlight w:val="none"/>
        </w:rPr>
        <w:t>的投标保证金</w:t>
      </w:r>
      <w:r>
        <w:rPr>
          <w:rFonts w:hint="eastAsia" w:ascii="宋体" w:hAnsi="宋体"/>
          <w:color w:val="auto"/>
          <w:sz w:val="24"/>
          <w:highlight w:val="none"/>
        </w:rPr>
        <w:t>。</w:t>
      </w:r>
    </w:p>
    <w:p w14:paraId="1BBF1F81">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12.7在签订合同后5个工作日内，</w:t>
      </w:r>
      <w:r>
        <w:rPr>
          <w:rFonts w:ascii="宋体" w:hAnsi="宋体"/>
          <w:color w:val="auto"/>
          <w:sz w:val="24"/>
          <w:highlight w:val="none"/>
        </w:rPr>
        <w:t>中标人的投标保证金</w:t>
      </w:r>
      <w:r>
        <w:rPr>
          <w:rFonts w:hint="eastAsia" w:ascii="宋体" w:hAnsi="宋体"/>
          <w:color w:val="auto"/>
          <w:sz w:val="24"/>
          <w:highlight w:val="none"/>
        </w:rPr>
        <w:t>予以退还。</w:t>
      </w:r>
    </w:p>
    <w:p w14:paraId="05850DC1">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12.8 投标保证金的有效期同投标有效期。</w:t>
      </w:r>
    </w:p>
    <w:p w14:paraId="7FC6EE1E">
      <w:pPr>
        <w:spacing w:line="480" w:lineRule="exact"/>
        <w:rPr>
          <w:rFonts w:ascii="宋体" w:hAnsi="宋体"/>
          <w:color w:val="auto"/>
          <w:sz w:val="24"/>
          <w:highlight w:val="none"/>
        </w:rPr>
      </w:pPr>
      <w:r>
        <w:rPr>
          <w:rFonts w:hint="eastAsia" w:ascii="宋体" w:hAnsi="宋体"/>
          <w:color w:val="auto"/>
          <w:sz w:val="24"/>
          <w:highlight w:val="none"/>
        </w:rPr>
        <w:t>12.9 发生以下情况之一的，投标保证金将不予退还：</w:t>
      </w:r>
    </w:p>
    <w:p w14:paraId="1D371CEB">
      <w:pPr>
        <w:pStyle w:val="5"/>
        <w:snapToGrid w:val="0"/>
        <w:spacing w:line="480" w:lineRule="exact"/>
        <w:ind w:firstLine="0" w:firstLineChars="0"/>
        <w:rPr>
          <w:rFonts w:ascii="宋体" w:hAnsi="宋体"/>
          <w:color w:val="auto"/>
          <w:sz w:val="24"/>
          <w:highlight w:val="none"/>
        </w:rPr>
      </w:pPr>
      <w:r>
        <w:rPr>
          <w:rFonts w:hint="eastAsia" w:ascii="宋体" w:hAnsi="宋体"/>
          <w:color w:val="auto"/>
          <w:sz w:val="24"/>
          <w:highlight w:val="none"/>
        </w:rPr>
        <w:t>⑴投标人在投标截止时间后，投标有效期内撤回投标；</w:t>
      </w:r>
    </w:p>
    <w:p w14:paraId="3061BA00">
      <w:pPr>
        <w:spacing w:line="480" w:lineRule="exact"/>
        <w:rPr>
          <w:rFonts w:ascii="宋体" w:hAnsi="宋体"/>
          <w:color w:val="auto"/>
          <w:sz w:val="24"/>
          <w:highlight w:val="none"/>
        </w:rPr>
      </w:pPr>
      <w:r>
        <w:rPr>
          <w:rFonts w:hint="eastAsia" w:ascii="宋体" w:hAnsi="宋体"/>
          <w:color w:val="auto"/>
          <w:sz w:val="24"/>
          <w:highlight w:val="none"/>
        </w:rPr>
        <w:t>⑵中标人未能做到按本须知第22条规定签订合同；</w:t>
      </w:r>
    </w:p>
    <w:p w14:paraId="13B8F6AC">
      <w:pPr>
        <w:spacing w:line="480" w:lineRule="exact"/>
        <w:rPr>
          <w:rFonts w:ascii="宋体" w:hAnsi="宋体"/>
          <w:color w:val="auto"/>
          <w:sz w:val="24"/>
          <w:highlight w:val="none"/>
        </w:rPr>
      </w:pPr>
      <w:r>
        <w:rPr>
          <w:rFonts w:hint="eastAsia" w:ascii="宋体" w:hAnsi="宋体"/>
          <w:color w:val="auto"/>
          <w:sz w:val="24"/>
          <w:highlight w:val="none"/>
        </w:rPr>
        <w:t>⑶以他人名义投标或者以其他方式弄虚作假，骗取中标；</w:t>
      </w:r>
    </w:p>
    <w:p w14:paraId="1A548971">
      <w:pPr>
        <w:spacing w:line="480" w:lineRule="exact"/>
        <w:rPr>
          <w:rFonts w:ascii="宋体" w:hAnsi="宋体"/>
          <w:color w:val="auto"/>
          <w:sz w:val="24"/>
          <w:highlight w:val="none"/>
        </w:rPr>
      </w:pPr>
      <w:r>
        <w:rPr>
          <w:rFonts w:hint="eastAsia" w:ascii="宋体" w:hAnsi="宋体"/>
          <w:color w:val="auto"/>
          <w:sz w:val="24"/>
          <w:highlight w:val="none"/>
        </w:rPr>
        <w:t>⑷本招标文件中规定的其他没收投标保证金的情形。</w:t>
      </w:r>
    </w:p>
    <w:p w14:paraId="32E113ED">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上述不予退还投标保证金的情况给招标采购单位造成损失的，还要承担赔偿责任。</w:t>
      </w:r>
    </w:p>
    <w:p w14:paraId="20594426">
      <w:pPr>
        <w:spacing w:line="480" w:lineRule="exact"/>
        <w:outlineLvl w:val="2"/>
        <w:rPr>
          <w:rFonts w:ascii="宋体" w:hAnsi="宋体"/>
          <w:b/>
          <w:color w:val="auto"/>
          <w:sz w:val="24"/>
          <w:highlight w:val="none"/>
        </w:rPr>
      </w:pPr>
      <w:bookmarkStart w:id="55" w:name="_Toc28703"/>
      <w:bookmarkStart w:id="56" w:name="_Toc11504"/>
      <w:r>
        <w:rPr>
          <w:rFonts w:hint="eastAsia" w:ascii="宋体" w:hAnsi="宋体"/>
          <w:b/>
          <w:color w:val="auto"/>
          <w:sz w:val="24"/>
          <w:highlight w:val="none"/>
        </w:rPr>
        <w:t>13</w:t>
      </w:r>
      <w:r>
        <w:rPr>
          <w:rFonts w:ascii="宋体" w:hAnsi="宋体"/>
          <w:b/>
          <w:color w:val="auto"/>
          <w:sz w:val="24"/>
          <w:highlight w:val="none"/>
        </w:rPr>
        <w:t xml:space="preserve">. </w:t>
      </w:r>
      <w:r>
        <w:rPr>
          <w:rFonts w:hint="eastAsia" w:ascii="宋体" w:hAnsi="宋体"/>
          <w:b/>
          <w:color w:val="auto"/>
          <w:sz w:val="24"/>
          <w:highlight w:val="none"/>
        </w:rPr>
        <w:t>投标文件的格式</w:t>
      </w:r>
      <w:bookmarkEnd w:id="55"/>
      <w:bookmarkEnd w:id="56"/>
    </w:p>
    <w:p w14:paraId="1CFA152A">
      <w:pPr>
        <w:spacing w:line="480" w:lineRule="exact"/>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13.1投标文件的编制与封装要求：投标人须按本招标文件中第五章第一册“技术商务部分格式”和第二册“报价部分格式”要求规定的内容分别编制和单独胶装投标文件：应编制封面、目录、页码，数量为正本一份，副本五份</w:t>
      </w:r>
      <w:r>
        <w:rPr>
          <w:rFonts w:hint="eastAsia" w:ascii="宋体" w:hAnsi="宋体"/>
          <w:b/>
          <w:color w:val="auto"/>
          <w:sz w:val="24"/>
          <w:highlight w:val="none"/>
          <w:shd w:val="pct10" w:color="auto" w:fill="FFFFFF"/>
          <w:lang w:eastAsia="zh-CN"/>
        </w:rPr>
        <w:t>，电子投标文件一份（电子投标文件以</w:t>
      </w:r>
      <w:r>
        <w:rPr>
          <w:rFonts w:hint="eastAsia" w:ascii="宋体" w:hAnsi="宋体"/>
          <w:b/>
          <w:color w:val="auto"/>
          <w:sz w:val="24"/>
          <w:highlight w:val="none"/>
          <w:shd w:val="pct10" w:color="auto" w:fill="FFFFFF"/>
          <w:lang w:val="en-US" w:eastAsia="zh-CN"/>
        </w:rPr>
        <w:t>U盘形式提交，内容为投标文件技术商务部分正本、报价部分正本经授权代表签名盖章后的PDF扫描件</w:t>
      </w:r>
      <w:r>
        <w:rPr>
          <w:rFonts w:hint="eastAsia" w:ascii="宋体" w:hAnsi="宋体"/>
          <w:b/>
          <w:color w:val="auto"/>
          <w:sz w:val="24"/>
          <w:highlight w:val="none"/>
          <w:shd w:val="pct10" w:color="auto" w:fill="FFFFFF"/>
          <w:lang w:eastAsia="zh-CN"/>
        </w:rPr>
        <w:t>）</w:t>
      </w:r>
      <w:r>
        <w:rPr>
          <w:rFonts w:hint="eastAsia" w:ascii="宋体" w:hAnsi="宋体"/>
          <w:b/>
          <w:color w:val="auto"/>
          <w:sz w:val="24"/>
          <w:highlight w:val="none"/>
          <w:shd w:val="pct10" w:color="auto" w:fill="FFFFFF"/>
        </w:rPr>
        <w:t>。正本必须用A4幅面纸张打印。副本可以用正本的完整复印件。正、副本均须胶装成册，并加盖骑缝章(或每页盖章)。封面须标明“正本”、“副本”字样。正本与副本如有不一致，则以正本为准。不符合前述要求的将被视为无效投标。</w:t>
      </w:r>
    </w:p>
    <w:p w14:paraId="7EDF88B5">
      <w:pPr>
        <w:spacing w:line="480" w:lineRule="exact"/>
        <w:rPr>
          <w:rFonts w:ascii="宋体" w:hAnsi="宋体"/>
          <w:b/>
          <w:color w:val="auto"/>
          <w:sz w:val="24"/>
          <w:highlight w:val="none"/>
          <w:shd w:val="pct10" w:color="auto" w:fill="FFFFFF"/>
        </w:rPr>
      </w:pPr>
      <w:r>
        <w:rPr>
          <w:rFonts w:hint="eastAsia" w:ascii="宋体" w:hAnsi="宋体"/>
          <w:b/>
          <w:color w:val="auto"/>
          <w:sz w:val="24"/>
          <w:highlight w:val="none"/>
          <w:shd w:val="pct10" w:color="auto" w:fill="FFFFFF"/>
        </w:rPr>
        <w:t>13.2投标文件应由投标人的</w:t>
      </w:r>
      <w:r>
        <w:rPr>
          <w:rFonts w:hint="eastAsia" w:ascii="宋体" w:hAnsi="宋体"/>
          <w:b/>
          <w:color w:val="auto"/>
          <w:sz w:val="24"/>
          <w:highlight w:val="none"/>
          <w:shd w:val="pct10" w:color="auto" w:fill="FFFFFF"/>
          <w:lang w:eastAsia="zh-CN"/>
        </w:rPr>
        <w:t>法定代表人</w:t>
      </w:r>
      <w:r>
        <w:rPr>
          <w:rFonts w:hint="eastAsia" w:ascii="宋体" w:hAnsi="宋体"/>
          <w:b/>
          <w:color w:val="auto"/>
          <w:sz w:val="24"/>
          <w:highlight w:val="none"/>
          <w:shd w:val="pct10" w:color="auto" w:fill="FFFFFF"/>
        </w:rPr>
        <w:t>或者其授权代表在第五章投标文件格式中出现签名和盖章的相应处签名并加盖公章，如由后者签名，应提供“</w:t>
      </w:r>
      <w:r>
        <w:rPr>
          <w:rFonts w:hint="eastAsia" w:ascii="宋体" w:hAnsi="宋体"/>
          <w:b/>
          <w:color w:val="auto"/>
          <w:sz w:val="24"/>
          <w:highlight w:val="none"/>
          <w:shd w:val="pct10" w:color="auto" w:fill="FFFFFF"/>
          <w:lang w:eastAsia="zh-CN"/>
        </w:rPr>
        <w:t>法定代表人</w:t>
      </w:r>
      <w:r>
        <w:rPr>
          <w:rFonts w:hint="eastAsia" w:ascii="宋体" w:hAnsi="宋体"/>
          <w:b/>
          <w:color w:val="auto"/>
          <w:sz w:val="24"/>
          <w:highlight w:val="none"/>
          <w:shd w:val="pct10" w:color="auto" w:fill="FFFFFF"/>
        </w:rPr>
        <w:t>授权书”。</w:t>
      </w:r>
    </w:p>
    <w:p w14:paraId="707A9429">
      <w:pPr>
        <w:spacing w:line="480" w:lineRule="exact"/>
        <w:rPr>
          <w:rFonts w:ascii="宋体" w:hAnsi="宋体"/>
          <w:color w:val="auto"/>
          <w:sz w:val="24"/>
          <w:highlight w:val="none"/>
        </w:rPr>
      </w:pPr>
      <w:r>
        <w:rPr>
          <w:rFonts w:hint="eastAsia" w:ascii="宋体" w:hAnsi="宋体"/>
          <w:color w:val="auto"/>
          <w:sz w:val="24"/>
          <w:highlight w:val="none"/>
        </w:rPr>
        <w:t>13.3本次招标货币为人民币。</w:t>
      </w:r>
    </w:p>
    <w:p w14:paraId="118FED8E">
      <w:pPr>
        <w:spacing w:line="48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4投标人应提交证明其拟提供的服务符合招标文件要求的技术响应材料，该材料可以是文字资料、图纸和数据。</w:t>
      </w:r>
    </w:p>
    <w:p w14:paraId="5E7C5D4A">
      <w:pPr>
        <w:spacing w:line="480" w:lineRule="exac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5投标文件的正本和全部副本均应使用不能擦去的墨料或墨水打印、书写或复印，并由</w:t>
      </w:r>
      <w:r>
        <w:rPr>
          <w:rFonts w:hint="eastAsia" w:ascii="宋体" w:hAnsi="宋体"/>
          <w:color w:val="auto"/>
          <w:sz w:val="24"/>
          <w:highlight w:val="none"/>
          <w:lang w:eastAsia="zh-CN"/>
        </w:rPr>
        <w:t>法定代表人</w:t>
      </w:r>
      <w:r>
        <w:rPr>
          <w:rFonts w:hint="eastAsia" w:ascii="宋体" w:hAnsi="宋体"/>
          <w:color w:val="auto"/>
          <w:sz w:val="24"/>
          <w:highlight w:val="none"/>
        </w:rPr>
        <w:t>或其授权代表签署，盖投标人公章。</w:t>
      </w:r>
    </w:p>
    <w:p w14:paraId="171BA739">
      <w:pPr>
        <w:spacing w:line="480" w:lineRule="exact"/>
        <w:rPr>
          <w:rFonts w:ascii="宋体" w:hAnsi="宋体"/>
          <w:color w:val="auto"/>
          <w:sz w:val="24"/>
          <w:highlight w:val="none"/>
        </w:rPr>
      </w:pPr>
      <w:r>
        <w:rPr>
          <w:rFonts w:hint="eastAsia" w:ascii="宋体" w:hAnsi="宋体"/>
          <w:color w:val="auto"/>
          <w:sz w:val="24"/>
          <w:highlight w:val="none"/>
        </w:rPr>
        <w:t>13.6全套投标文件应无涂改和行间插字，除非这些改动是根据招标代理机构的指示进行的，或者是为改正投标人造成的必须修改的错误而进行的。有改动时，修改处应由</w:t>
      </w:r>
      <w:r>
        <w:rPr>
          <w:rFonts w:hint="eastAsia" w:ascii="宋体" w:hAnsi="宋体"/>
          <w:color w:val="auto"/>
          <w:sz w:val="24"/>
          <w:highlight w:val="none"/>
          <w:lang w:eastAsia="zh-CN"/>
        </w:rPr>
        <w:t>法定代表人</w:t>
      </w:r>
      <w:r>
        <w:rPr>
          <w:rFonts w:hint="eastAsia" w:ascii="宋体" w:hAnsi="宋体"/>
          <w:color w:val="auto"/>
          <w:sz w:val="24"/>
          <w:highlight w:val="none"/>
        </w:rPr>
        <w:t xml:space="preserve">授权代表签署证明或加盖校正章。 </w:t>
      </w:r>
    </w:p>
    <w:p w14:paraId="7F0AF95B">
      <w:pPr>
        <w:spacing w:line="480" w:lineRule="exact"/>
        <w:rPr>
          <w:rFonts w:ascii="宋体" w:hAnsi="宋体"/>
          <w:color w:val="auto"/>
          <w:szCs w:val="21"/>
          <w:highlight w:val="none"/>
        </w:rPr>
      </w:pPr>
      <w:r>
        <w:rPr>
          <w:rFonts w:hint="eastAsia" w:ascii="宋体" w:hAnsi="宋体"/>
          <w:color w:val="auto"/>
          <w:sz w:val="24"/>
          <w:highlight w:val="none"/>
        </w:rPr>
        <w:t>13.7未按本须知规定的格式填写投标文件、投标文件字迹模糊不清的，其投标无效。</w:t>
      </w:r>
    </w:p>
    <w:p w14:paraId="08685745">
      <w:pPr>
        <w:pStyle w:val="35"/>
        <w:spacing w:line="400" w:lineRule="exact"/>
        <w:jc w:val="center"/>
        <w:outlineLvl w:val="9"/>
        <w:rPr>
          <w:rFonts w:hAnsi="宋体"/>
          <w:b/>
          <w:bCs/>
          <w:color w:val="auto"/>
          <w:sz w:val="36"/>
          <w:szCs w:val="36"/>
          <w:highlight w:val="none"/>
        </w:rPr>
      </w:pPr>
    </w:p>
    <w:p w14:paraId="7A126C31">
      <w:pPr>
        <w:spacing w:line="360" w:lineRule="auto"/>
        <w:jc w:val="center"/>
        <w:outlineLvl w:val="1"/>
        <w:rPr>
          <w:rFonts w:ascii="宋体" w:hAnsi="宋体" w:cs="宋体"/>
          <w:b/>
          <w:color w:val="auto"/>
          <w:sz w:val="36"/>
          <w:szCs w:val="36"/>
          <w:highlight w:val="none"/>
        </w:rPr>
      </w:pPr>
      <w:bookmarkStart w:id="57" w:name="_Toc4151"/>
      <w:r>
        <w:rPr>
          <w:rFonts w:hint="eastAsia" w:ascii="宋体" w:hAnsi="宋体" w:cs="宋体"/>
          <w:b/>
          <w:color w:val="auto"/>
          <w:sz w:val="36"/>
          <w:szCs w:val="36"/>
          <w:highlight w:val="none"/>
        </w:rPr>
        <w:t>四、投标文件的提交</w:t>
      </w:r>
      <w:bookmarkEnd w:id="57"/>
    </w:p>
    <w:p w14:paraId="2355F045">
      <w:pPr>
        <w:spacing w:line="360" w:lineRule="auto"/>
        <w:outlineLvl w:val="2"/>
        <w:rPr>
          <w:rFonts w:ascii="宋体" w:hAnsi="宋体" w:cs="宋体"/>
          <w:b/>
          <w:color w:val="auto"/>
          <w:sz w:val="24"/>
          <w:highlight w:val="none"/>
          <w:u w:val="single"/>
        </w:rPr>
      </w:pPr>
      <w:bookmarkStart w:id="58" w:name="_Toc793"/>
      <w:bookmarkStart w:id="59" w:name="_Toc1934"/>
      <w:r>
        <w:rPr>
          <w:rFonts w:hint="eastAsia" w:ascii="宋体" w:hAnsi="宋体" w:cs="宋体"/>
          <w:b/>
          <w:color w:val="auto"/>
          <w:sz w:val="24"/>
          <w:highlight w:val="none"/>
          <w:u w:val="single"/>
        </w:rPr>
        <w:t>14.投标文件的密封、标记和递交</w:t>
      </w:r>
      <w:bookmarkEnd w:id="58"/>
      <w:bookmarkEnd w:id="59"/>
    </w:p>
    <w:p w14:paraId="473CC837">
      <w:pPr>
        <w:spacing w:line="360" w:lineRule="auto"/>
        <w:rPr>
          <w:rFonts w:ascii="宋体" w:hAnsi="宋体" w:cs="宋体"/>
          <w:b/>
          <w:color w:val="auto"/>
          <w:sz w:val="24"/>
          <w:highlight w:val="none"/>
          <w:u w:val="single"/>
          <w:shd w:val="pct10" w:color="auto" w:fill="FFFFFF"/>
        </w:rPr>
      </w:pPr>
      <w:r>
        <w:rPr>
          <w:rFonts w:hint="eastAsia" w:ascii="宋体" w:hAnsi="宋体" w:cs="宋体"/>
          <w:b/>
          <w:color w:val="auto"/>
          <w:sz w:val="24"/>
          <w:highlight w:val="none"/>
          <w:u w:val="single"/>
          <w:shd w:val="pct10" w:color="auto" w:fill="FFFFFF"/>
        </w:rPr>
        <w:t>14.1投标人应将投标文件用密封袋（箱）密封，密封袋（箱）的封装要标准、封口处要贴封条并盖投标人公章，密封袋（箱）上应标明</w:t>
      </w:r>
      <w:r>
        <w:rPr>
          <w:rFonts w:hint="eastAsia" w:ascii="宋体" w:hAnsi="宋体" w:cs="宋体"/>
          <w:b/>
          <w:color w:val="auto"/>
          <w:sz w:val="24"/>
          <w:highlight w:val="none"/>
          <w:u w:val="single"/>
          <w:shd w:val="pct10" w:color="auto" w:fill="FFFFFF"/>
          <w:lang w:eastAsia="zh-CN"/>
        </w:rPr>
        <w:t>项目编号</w:t>
      </w:r>
      <w:r>
        <w:rPr>
          <w:rFonts w:hint="eastAsia" w:ascii="宋体" w:hAnsi="宋体" w:cs="宋体"/>
          <w:b/>
          <w:color w:val="auto"/>
          <w:sz w:val="24"/>
          <w:highlight w:val="none"/>
          <w:u w:val="single"/>
          <w:shd w:val="pct10" w:color="auto" w:fill="FFFFFF"/>
        </w:rPr>
        <w:t>、投标人名称、项目名称、所投合同包号及“正本”或“副本”字样。</w:t>
      </w:r>
    </w:p>
    <w:p w14:paraId="498BA704">
      <w:pPr>
        <w:spacing w:line="360" w:lineRule="auto"/>
        <w:rPr>
          <w:rFonts w:ascii="宋体" w:hAnsi="宋体" w:cs="宋体"/>
          <w:b/>
          <w:color w:val="auto"/>
          <w:sz w:val="24"/>
          <w:highlight w:val="none"/>
          <w:u w:val="single"/>
          <w:shd w:val="pct10" w:color="auto" w:fill="FFFFFF"/>
        </w:rPr>
      </w:pPr>
      <w:r>
        <w:rPr>
          <w:rFonts w:hint="eastAsia" w:ascii="宋体" w:hAnsi="宋体" w:cs="宋体"/>
          <w:b/>
          <w:color w:val="auto"/>
          <w:sz w:val="24"/>
          <w:highlight w:val="none"/>
          <w:u w:val="single"/>
          <w:shd w:val="pct10" w:color="auto" w:fill="FFFFFF"/>
        </w:rPr>
        <w:t>14.2 封条上应注明“于      年  月  日   午    （北京时间）之前（指投标邀请中规定的开标日期及时间）不准启封”的字样，并加盖投标人公章。</w:t>
      </w:r>
    </w:p>
    <w:p w14:paraId="11BF7826">
      <w:pPr>
        <w:pStyle w:val="18"/>
        <w:spacing w:line="360" w:lineRule="auto"/>
        <w:ind w:firstLine="0" w:firstLineChars="0"/>
        <w:rPr>
          <w:rFonts w:ascii="宋体" w:hAnsi="宋体" w:eastAsia="宋体" w:cs="宋体"/>
          <w:color w:val="auto"/>
          <w:highlight w:val="none"/>
          <w:u w:val="single"/>
        </w:rPr>
      </w:pPr>
      <w:r>
        <w:rPr>
          <w:rFonts w:hint="eastAsia" w:ascii="宋体" w:hAnsi="宋体" w:eastAsia="宋体" w:cs="宋体"/>
          <w:b/>
          <w:color w:val="auto"/>
          <w:sz w:val="24"/>
          <w:highlight w:val="none"/>
          <w:u w:val="single"/>
        </w:rPr>
        <w:t>注：未按前述14.1及14.2条规定进行密封或标记的，其投标文件将被拒收。</w:t>
      </w:r>
    </w:p>
    <w:p w14:paraId="4818CB9F">
      <w:pPr>
        <w:spacing w:line="360" w:lineRule="auto"/>
        <w:rPr>
          <w:rFonts w:ascii="宋体" w:hAnsi="宋体" w:cs="宋体"/>
          <w:color w:val="auto"/>
          <w:sz w:val="24"/>
          <w:highlight w:val="none"/>
        </w:rPr>
      </w:pPr>
      <w:r>
        <w:rPr>
          <w:rFonts w:hint="eastAsia" w:ascii="宋体" w:hAnsi="宋体" w:cs="宋体"/>
          <w:color w:val="auto"/>
          <w:sz w:val="24"/>
          <w:highlight w:val="none"/>
        </w:rPr>
        <w:t>14.3如果未按上述规定进行密封和标记，招标代理机构将不承担由此造成的对投标文件的误投或提前拆封的责任。</w:t>
      </w:r>
    </w:p>
    <w:p w14:paraId="36AB1876">
      <w:pPr>
        <w:spacing w:line="360" w:lineRule="auto"/>
        <w:rPr>
          <w:rFonts w:ascii="宋体" w:hAnsi="宋体"/>
          <w:color w:val="auto"/>
          <w:sz w:val="24"/>
          <w:highlight w:val="none"/>
        </w:rPr>
      </w:pPr>
      <w:r>
        <w:rPr>
          <w:rFonts w:hint="eastAsia" w:ascii="宋体" w:hAnsi="宋体"/>
          <w:color w:val="auto"/>
          <w:sz w:val="24"/>
          <w:highlight w:val="none"/>
        </w:rPr>
        <w:t>14.4投标文件应在投标邀请中规定的截止时间前送达，迟到的投标文件为无效投标文件，将被拒收。</w:t>
      </w:r>
    </w:p>
    <w:p w14:paraId="03570012">
      <w:pPr>
        <w:spacing w:line="480" w:lineRule="exact"/>
        <w:rPr>
          <w:rFonts w:ascii="宋体" w:hAnsi="宋体"/>
          <w:color w:val="auto"/>
          <w:sz w:val="24"/>
          <w:highlight w:val="none"/>
        </w:rPr>
      </w:pPr>
      <w:r>
        <w:rPr>
          <w:rFonts w:hint="eastAsia" w:ascii="宋体" w:hAnsi="宋体"/>
          <w:color w:val="auto"/>
          <w:sz w:val="24"/>
          <w:highlight w:val="none"/>
        </w:rPr>
        <w:t>14.5投标人在投标截止时间前，可以对所提交的投标文件进行修改或者撤回，并书面通知招标代理机构。修改的内容和撤回通知应当按本须知要求签署、盖章、密封，并作为投标文件的组成部分。</w:t>
      </w:r>
    </w:p>
    <w:p w14:paraId="0F4E6566">
      <w:pPr>
        <w:spacing w:line="480" w:lineRule="exact"/>
        <w:rPr>
          <w:rFonts w:ascii="宋体" w:hAnsi="宋体"/>
          <w:color w:val="auto"/>
          <w:sz w:val="24"/>
          <w:highlight w:val="none"/>
        </w:rPr>
      </w:pPr>
      <w:r>
        <w:rPr>
          <w:rFonts w:hint="eastAsia" w:ascii="宋体" w:hAnsi="宋体"/>
          <w:color w:val="auto"/>
          <w:sz w:val="24"/>
          <w:highlight w:val="none"/>
        </w:rPr>
        <w:t>14.6投标人在投标截止时间后不得修改、撤回投标文件。</w:t>
      </w:r>
    </w:p>
    <w:p w14:paraId="20171A7D">
      <w:pPr>
        <w:spacing w:line="480" w:lineRule="exact"/>
        <w:rPr>
          <w:rFonts w:ascii="宋体" w:hAnsi="宋体"/>
          <w:color w:val="auto"/>
          <w:sz w:val="24"/>
          <w:highlight w:val="none"/>
        </w:rPr>
      </w:pPr>
      <w:r>
        <w:rPr>
          <w:rFonts w:hint="eastAsia" w:ascii="宋体" w:hAnsi="宋体"/>
          <w:color w:val="auto"/>
          <w:sz w:val="24"/>
          <w:highlight w:val="none"/>
        </w:rPr>
        <w:t>14.7至投标截止时间止，参加投标的各合同包有效投标人不足三家的，本次招标程序终止，除采购任务取消情形外，招标人将依法重新组织招标或者采取其他方式采购。</w:t>
      </w:r>
    </w:p>
    <w:p w14:paraId="045E2336">
      <w:pPr>
        <w:spacing w:line="360" w:lineRule="auto"/>
        <w:jc w:val="center"/>
        <w:outlineLvl w:val="1"/>
        <w:rPr>
          <w:rFonts w:ascii="宋体" w:hAnsi="宋体"/>
          <w:b/>
          <w:color w:val="auto"/>
          <w:sz w:val="36"/>
          <w:szCs w:val="36"/>
          <w:highlight w:val="none"/>
        </w:rPr>
      </w:pPr>
    </w:p>
    <w:p w14:paraId="1C992D2F">
      <w:pPr>
        <w:spacing w:line="360" w:lineRule="auto"/>
        <w:jc w:val="center"/>
        <w:outlineLvl w:val="1"/>
        <w:rPr>
          <w:rFonts w:ascii="宋体" w:hAnsi="宋体"/>
          <w:b/>
          <w:color w:val="auto"/>
          <w:sz w:val="36"/>
          <w:szCs w:val="36"/>
          <w:highlight w:val="none"/>
        </w:rPr>
      </w:pPr>
      <w:bookmarkStart w:id="60" w:name="_Toc12088"/>
      <w:r>
        <w:rPr>
          <w:rFonts w:hint="eastAsia" w:ascii="宋体" w:hAnsi="宋体"/>
          <w:b/>
          <w:color w:val="auto"/>
          <w:sz w:val="36"/>
          <w:szCs w:val="36"/>
          <w:highlight w:val="none"/>
        </w:rPr>
        <w:t>五、投标文件的评估和比较</w:t>
      </w:r>
      <w:bookmarkEnd w:id="60"/>
    </w:p>
    <w:p w14:paraId="5583A79E">
      <w:pPr>
        <w:spacing w:line="360" w:lineRule="auto"/>
        <w:outlineLvl w:val="2"/>
        <w:rPr>
          <w:rFonts w:ascii="宋体" w:hAnsi="宋体"/>
          <w:b/>
          <w:color w:val="auto"/>
          <w:sz w:val="24"/>
          <w:highlight w:val="none"/>
        </w:rPr>
      </w:pPr>
      <w:bookmarkStart w:id="61" w:name="_Toc31642"/>
      <w:bookmarkStart w:id="62" w:name="_Toc11364"/>
      <w:r>
        <w:rPr>
          <w:rFonts w:hint="eastAsia" w:ascii="宋体" w:hAnsi="宋体"/>
          <w:b/>
          <w:color w:val="auto"/>
          <w:sz w:val="24"/>
          <w:highlight w:val="none"/>
        </w:rPr>
        <w:t>15．开标、评标时间</w:t>
      </w:r>
      <w:bookmarkEnd w:id="61"/>
      <w:bookmarkEnd w:id="62"/>
    </w:p>
    <w:p w14:paraId="0344C785">
      <w:pPr>
        <w:spacing w:line="360" w:lineRule="auto"/>
        <w:rPr>
          <w:rFonts w:ascii="宋体" w:hAnsi="宋体"/>
          <w:color w:val="auto"/>
          <w:sz w:val="24"/>
          <w:highlight w:val="none"/>
        </w:rPr>
      </w:pPr>
      <w:r>
        <w:rPr>
          <w:rFonts w:hint="eastAsia" w:ascii="宋体" w:hAnsi="宋体"/>
          <w:color w:val="auto"/>
          <w:sz w:val="24"/>
          <w:highlight w:val="none"/>
        </w:rPr>
        <w:t>15.1 在投标人须知前附表中所规定的时间、地点开标。</w:t>
      </w:r>
    </w:p>
    <w:p w14:paraId="1B5446AE">
      <w:pPr>
        <w:spacing w:line="360" w:lineRule="auto"/>
        <w:rPr>
          <w:rFonts w:ascii="宋体" w:hAnsi="宋体"/>
          <w:color w:val="auto"/>
          <w:sz w:val="24"/>
          <w:highlight w:val="none"/>
        </w:rPr>
      </w:pPr>
      <w:r>
        <w:rPr>
          <w:rFonts w:hint="eastAsia" w:ascii="宋体" w:hAnsi="宋体"/>
          <w:color w:val="auto"/>
          <w:sz w:val="24"/>
          <w:highlight w:val="none"/>
        </w:rPr>
        <w:t xml:space="preserve">15.2开标由招标代理机构主持，招标人、投标人和有关方面代表参加。 </w:t>
      </w:r>
    </w:p>
    <w:p w14:paraId="5AF832E4">
      <w:pPr>
        <w:spacing w:line="360" w:lineRule="auto"/>
        <w:rPr>
          <w:rFonts w:ascii="宋体" w:hAnsi="宋体"/>
          <w:color w:val="auto"/>
          <w:sz w:val="24"/>
          <w:highlight w:val="none"/>
        </w:rPr>
      </w:pPr>
      <w:r>
        <w:rPr>
          <w:rFonts w:hint="eastAsia" w:ascii="宋体" w:hAnsi="宋体"/>
          <w:color w:val="auto"/>
          <w:sz w:val="24"/>
          <w:highlight w:val="none"/>
        </w:rPr>
        <w:t>15.3 开标时，由招标人监督人员或投标人推荐代表或投标人授权代表检查投标文件的密封情况，各投标人授权代表进行投标文件密封性检验与签名确认。对符合密封要求的投标文件报价部分正本当场逐一拆封，由开标会主持人宣唱并记录各投标人的报价，唱标内容为“开标一览表”中“</w:t>
      </w:r>
      <w:r>
        <w:rPr>
          <w:rFonts w:hint="eastAsia" w:ascii="宋体" w:hAnsi="宋体"/>
          <w:color w:val="auto"/>
          <w:sz w:val="24"/>
          <w:highlight w:val="none"/>
          <w:lang w:eastAsia="zh-CN"/>
        </w:rPr>
        <w:t>投标报价</w:t>
      </w:r>
      <w:r>
        <w:rPr>
          <w:rFonts w:hint="eastAsia" w:ascii="宋体" w:hAnsi="宋体"/>
          <w:color w:val="auto"/>
          <w:sz w:val="24"/>
          <w:highlight w:val="none"/>
        </w:rPr>
        <w:t>”的内容。招标代理机构对唱标内容作开标记录，由投标人代表签名确认。</w:t>
      </w:r>
    </w:p>
    <w:p w14:paraId="11E286A9">
      <w:pPr>
        <w:spacing w:line="360" w:lineRule="auto"/>
        <w:rPr>
          <w:rFonts w:ascii="宋体" w:hAnsi="宋体"/>
          <w:color w:val="auto"/>
          <w:sz w:val="24"/>
          <w:highlight w:val="none"/>
        </w:rPr>
      </w:pPr>
      <w:r>
        <w:rPr>
          <w:rFonts w:hint="eastAsia" w:ascii="宋体" w:hAnsi="宋体"/>
          <w:color w:val="auto"/>
          <w:sz w:val="24"/>
          <w:highlight w:val="none"/>
        </w:rPr>
        <w:t>15.4开标大会唱标结束后，各投标人授权代表对本公司的唱标报价给予签名确认。</w:t>
      </w:r>
    </w:p>
    <w:p w14:paraId="08DF73BF">
      <w:pPr>
        <w:spacing w:line="360" w:lineRule="auto"/>
        <w:rPr>
          <w:rFonts w:ascii="宋体" w:hAnsi="宋体"/>
          <w:color w:val="auto"/>
          <w:sz w:val="24"/>
          <w:highlight w:val="none"/>
        </w:rPr>
      </w:pPr>
      <w:r>
        <w:rPr>
          <w:rFonts w:hint="eastAsia" w:ascii="宋体" w:hAnsi="宋体"/>
          <w:color w:val="auto"/>
          <w:sz w:val="24"/>
          <w:highlight w:val="none"/>
        </w:rPr>
        <w:t>15.5投标人对开标过程及开标记录若有异议，须以书面形式当场向开标会主持人提出，否则视为对本次开标过程及开标记录予以认可，投标人不得在开标以后以各种事由就本次开标过程及开标记录向招标代理机构或招标人提出任何异议和要求。</w:t>
      </w:r>
    </w:p>
    <w:p w14:paraId="3077B127">
      <w:pPr>
        <w:spacing w:line="360" w:lineRule="auto"/>
        <w:rPr>
          <w:rFonts w:ascii="宋体" w:hAnsi="宋体"/>
          <w:color w:val="auto"/>
          <w:sz w:val="24"/>
          <w:highlight w:val="none"/>
        </w:rPr>
      </w:pPr>
      <w:r>
        <w:rPr>
          <w:rFonts w:hint="eastAsia" w:ascii="宋体" w:hAnsi="宋体"/>
          <w:color w:val="auto"/>
          <w:sz w:val="24"/>
          <w:highlight w:val="none"/>
        </w:rPr>
        <w:t>15.6投标人代表未参加开标会或未对唱标报价给予签名确认的均视为认可开标结果。</w:t>
      </w:r>
    </w:p>
    <w:p w14:paraId="0AA274D2">
      <w:pPr>
        <w:tabs>
          <w:tab w:val="left" w:pos="3330"/>
        </w:tabs>
        <w:spacing w:line="360" w:lineRule="auto"/>
        <w:outlineLvl w:val="2"/>
        <w:rPr>
          <w:rFonts w:ascii="宋体" w:hAnsi="宋体"/>
          <w:b/>
          <w:color w:val="auto"/>
          <w:sz w:val="24"/>
          <w:highlight w:val="none"/>
        </w:rPr>
      </w:pPr>
      <w:bookmarkStart w:id="63" w:name="_Toc25656"/>
      <w:bookmarkStart w:id="64" w:name="_Toc18183"/>
      <w:r>
        <w:rPr>
          <w:rFonts w:hint="eastAsia" w:ascii="宋体" w:hAnsi="宋体"/>
          <w:b/>
          <w:color w:val="auto"/>
          <w:sz w:val="24"/>
          <w:highlight w:val="none"/>
        </w:rPr>
        <w:t>16．评标委员会</w:t>
      </w:r>
      <w:bookmarkEnd w:id="63"/>
      <w:bookmarkEnd w:id="64"/>
    </w:p>
    <w:p w14:paraId="45B58A3D">
      <w:pPr>
        <w:spacing w:line="360" w:lineRule="auto"/>
        <w:rPr>
          <w:rFonts w:ascii="宋体" w:hAnsi="宋体"/>
          <w:color w:val="auto"/>
          <w:sz w:val="24"/>
          <w:highlight w:val="none"/>
        </w:rPr>
      </w:pPr>
      <w:r>
        <w:rPr>
          <w:rFonts w:hint="eastAsia" w:ascii="宋体" w:hAnsi="宋体"/>
          <w:color w:val="auto"/>
          <w:sz w:val="24"/>
          <w:highlight w:val="none"/>
        </w:rPr>
        <w:t>16.1招标人根据项目的特点依法组建评标委员会。评标委员会成员为5人</w:t>
      </w:r>
      <w:r>
        <w:rPr>
          <w:rFonts w:hint="eastAsia" w:ascii="宋体" w:hAnsi="宋体"/>
          <w:color w:val="auto"/>
          <w:sz w:val="24"/>
          <w:highlight w:val="none"/>
          <w:lang w:eastAsia="zh-CN"/>
        </w:rPr>
        <w:t>及</w:t>
      </w:r>
      <w:r>
        <w:rPr>
          <w:rFonts w:hint="eastAsia" w:ascii="宋体" w:hAnsi="宋体"/>
          <w:color w:val="auto"/>
          <w:sz w:val="24"/>
          <w:highlight w:val="none"/>
        </w:rPr>
        <w:t>以上单数组成，评审专家不能少于三分之二。在开标后的适当时间里由评标委员会对投标文件进行审查、异议、评估和比较，并做出授予合同的建议。</w:t>
      </w:r>
    </w:p>
    <w:p w14:paraId="7118ECEC">
      <w:pPr>
        <w:spacing w:line="360" w:lineRule="auto"/>
        <w:rPr>
          <w:rFonts w:ascii="宋体" w:hAnsi="宋体"/>
          <w:color w:val="auto"/>
          <w:sz w:val="24"/>
          <w:highlight w:val="none"/>
        </w:rPr>
      </w:pPr>
      <w:r>
        <w:rPr>
          <w:rFonts w:hint="eastAsia" w:ascii="宋体" w:hAnsi="宋体"/>
          <w:color w:val="auto"/>
          <w:sz w:val="24"/>
          <w:highlight w:val="none"/>
        </w:rPr>
        <w:t>16.2 评标委员会成员有下列情形之一的，应当回避：</w:t>
      </w:r>
    </w:p>
    <w:p w14:paraId="7D68F3BC">
      <w:pPr>
        <w:spacing w:line="360" w:lineRule="auto"/>
        <w:rPr>
          <w:rFonts w:ascii="宋体" w:hAnsi="宋体"/>
          <w:color w:val="auto"/>
          <w:sz w:val="24"/>
          <w:highlight w:val="none"/>
        </w:rPr>
      </w:pPr>
      <w:r>
        <w:rPr>
          <w:rFonts w:hint="eastAsia" w:ascii="宋体" w:hAnsi="宋体"/>
          <w:color w:val="auto"/>
          <w:sz w:val="24"/>
          <w:highlight w:val="none"/>
        </w:rPr>
        <w:t>(1) 现在或者在招标活动发生前三年内，与投标人存在雇佣关系；</w:t>
      </w:r>
    </w:p>
    <w:p w14:paraId="719C6825">
      <w:pPr>
        <w:spacing w:line="360" w:lineRule="auto"/>
        <w:rPr>
          <w:rFonts w:ascii="宋体" w:hAnsi="宋体"/>
          <w:color w:val="auto"/>
          <w:sz w:val="24"/>
          <w:highlight w:val="none"/>
        </w:rPr>
      </w:pPr>
      <w:r>
        <w:rPr>
          <w:rFonts w:hint="eastAsia" w:ascii="宋体" w:hAnsi="宋体"/>
          <w:color w:val="auto"/>
          <w:sz w:val="24"/>
          <w:highlight w:val="none"/>
        </w:rPr>
        <w:t>(2) 现在或者在招标活动发生前三年内担任投标人的财务顾问、法律顾问或技术顾问；</w:t>
      </w:r>
    </w:p>
    <w:p w14:paraId="51DD21B4">
      <w:pPr>
        <w:spacing w:line="360" w:lineRule="auto"/>
        <w:rPr>
          <w:rFonts w:ascii="宋体" w:hAnsi="宋体"/>
          <w:color w:val="auto"/>
          <w:sz w:val="24"/>
          <w:highlight w:val="none"/>
        </w:rPr>
      </w:pPr>
      <w:r>
        <w:rPr>
          <w:rFonts w:hint="eastAsia" w:ascii="宋体" w:hAnsi="宋体"/>
          <w:color w:val="auto"/>
          <w:sz w:val="24"/>
          <w:highlight w:val="none"/>
        </w:rPr>
        <w:t>(3) 现在或者在招标活动发生前三年内是投标人的控股股东或者实际控制人；</w:t>
      </w:r>
    </w:p>
    <w:p w14:paraId="15661A11">
      <w:pPr>
        <w:spacing w:line="360" w:lineRule="auto"/>
        <w:rPr>
          <w:rFonts w:ascii="宋体" w:hAnsi="宋体"/>
          <w:color w:val="auto"/>
          <w:sz w:val="24"/>
          <w:highlight w:val="none"/>
        </w:rPr>
      </w:pPr>
      <w:r>
        <w:rPr>
          <w:rFonts w:hint="eastAsia" w:ascii="宋体" w:hAnsi="宋体"/>
          <w:color w:val="auto"/>
          <w:sz w:val="24"/>
          <w:highlight w:val="none"/>
        </w:rPr>
        <w:t>(4) 与投标人的法定代表人或者</w:t>
      </w:r>
      <w:r>
        <w:rPr>
          <w:rFonts w:hint="eastAsia" w:ascii="宋体" w:hAnsi="宋体"/>
          <w:color w:val="auto"/>
          <w:sz w:val="24"/>
          <w:highlight w:val="none"/>
          <w:lang w:eastAsia="zh-CN"/>
        </w:rPr>
        <w:t>法定代表人</w:t>
      </w:r>
      <w:r>
        <w:rPr>
          <w:rFonts w:hint="eastAsia" w:ascii="宋体" w:hAnsi="宋体"/>
          <w:color w:val="auto"/>
          <w:sz w:val="24"/>
          <w:highlight w:val="none"/>
        </w:rPr>
        <w:t>是直系血亲、三代以内旁系血亲及姻亲关系；</w:t>
      </w:r>
    </w:p>
    <w:p w14:paraId="651AC400">
      <w:pPr>
        <w:spacing w:line="360" w:lineRule="auto"/>
        <w:rPr>
          <w:rFonts w:ascii="宋体" w:hAnsi="宋体"/>
          <w:color w:val="auto"/>
          <w:sz w:val="24"/>
          <w:highlight w:val="none"/>
        </w:rPr>
      </w:pPr>
      <w:r>
        <w:rPr>
          <w:rFonts w:hint="eastAsia" w:ascii="宋体" w:hAnsi="宋体"/>
          <w:color w:val="auto"/>
          <w:sz w:val="24"/>
          <w:highlight w:val="none"/>
        </w:rPr>
        <w:t>(5) 与投标人之间存在其他影响或可能影响招标活动依法进行的利害关系。</w:t>
      </w:r>
    </w:p>
    <w:p w14:paraId="65DA44D6">
      <w:pPr>
        <w:spacing w:line="360" w:lineRule="auto"/>
        <w:outlineLvl w:val="2"/>
        <w:rPr>
          <w:rFonts w:ascii="宋体" w:hAnsi="宋体"/>
          <w:b/>
          <w:color w:val="auto"/>
          <w:sz w:val="24"/>
          <w:highlight w:val="none"/>
        </w:rPr>
      </w:pPr>
      <w:bookmarkStart w:id="65" w:name="_Toc8951"/>
      <w:bookmarkStart w:id="66" w:name="_Toc21220"/>
      <w:r>
        <w:rPr>
          <w:rFonts w:hint="eastAsia" w:ascii="宋体" w:hAnsi="宋体"/>
          <w:b/>
          <w:color w:val="auto"/>
          <w:sz w:val="24"/>
          <w:highlight w:val="none"/>
        </w:rPr>
        <w:t>17</w:t>
      </w:r>
      <w:r>
        <w:rPr>
          <w:rFonts w:ascii="宋体" w:hAnsi="宋体"/>
          <w:b/>
          <w:color w:val="auto"/>
          <w:sz w:val="24"/>
          <w:highlight w:val="none"/>
        </w:rPr>
        <w:t xml:space="preserve">. </w:t>
      </w:r>
      <w:r>
        <w:rPr>
          <w:rFonts w:hint="eastAsia" w:ascii="宋体" w:hAnsi="宋体"/>
          <w:b/>
          <w:color w:val="auto"/>
          <w:sz w:val="24"/>
          <w:highlight w:val="none"/>
        </w:rPr>
        <w:t>投标文件的初审</w:t>
      </w:r>
      <w:bookmarkEnd w:id="65"/>
      <w:bookmarkEnd w:id="66"/>
    </w:p>
    <w:p w14:paraId="2355E4C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对所有投标人的评估，都采用相同的程序和标准。评议过程将严格按照招标文件的要求和条件以及客观、公正、审慎的原则进行。</w:t>
      </w:r>
    </w:p>
    <w:p w14:paraId="5ABE70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有关投标文件的审查、澄清、评估和比较以及推荐中标候选人的一切情况都不得透露给任一投标人或与上述评标工作无关的人员。</w:t>
      </w:r>
    </w:p>
    <w:p w14:paraId="5EB31E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投标人任何试图影响评标委员会对投标文件的评估、比较或者推荐候选人的行为，都将导致其投标无效，并被没收投标保证金。</w:t>
      </w:r>
    </w:p>
    <w:p w14:paraId="1BE49A6B">
      <w:pPr>
        <w:spacing w:line="360" w:lineRule="auto"/>
        <w:rPr>
          <w:rFonts w:ascii="宋体" w:hAnsi="宋体"/>
          <w:color w:val="auto"/>
          <w:sz w:val="24"/>
          <w:highlight w:val="none"/>
        </w:rPr>
      </w:pPr>
      <w:r>
        <w:rPr>
          <w:rFonts w:hint="eastAsia" w:ascii="宋体" w:hAnsi="宋体"/>
          <w:color w:val="auto"/>
          <w:sz w:val="24"/>
          <w:highlight w:val="none"/>
        </w:rPr>
        <w:t>17.1评标委员会将对投标文件进行检查，以确定投标文件是否完整、有无计算上的错误、是否提交了投标保证金、文件是否已正确签署。</w:t>
      </w:r>
    </w:p>
    <w:p w14:paraId="53751B04">
      <w:pPr>
        <w:spacing w:line="360" w:lineRule="auto"/>
        <w:rPr>
          <w:rFonts w:ascii="宋体" w:hAnsi="宋体"/>
          <w:color w:val="auto"/>
          <w:sz w:val="24"/>
          <w:highlight w:val="none"/>
        </w:rPr>
      </w:pPr>
      <w:r>
        <w:rPr>
          <w:rFonts w:hint="eastAsia" w:ascii="宋体" w:hAnsi="宋体"/>
          <w:color w:val="auto"/>
          <w:sz w:val="24"/>
          <w:highlight w:val="none"/>
        </w:rPr>
        <w:t>17.2 投标文件报价出现前后不一致的，除招标文件另有规定外，按照下列规定修正：</w:t>
      </w:r>
    </w:p>
    <w:p w14:paraId="02457C5E">
      <w:pPr>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（1）投标文件中开标一览表的</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投标报价</w:t>
      </w:r>
      <w:r>
        <w:rPr>
          <w:rFonts w:hint="eastAsia" w:ascii="宋体" w:hAnsi="宋体"/>
          <w:color w:val="auto"/>
          <w:sz w:val="24"/>
          <w:highlight w:val="none"/>
          <w:lang w:eastAsia="zh-CN"/>
        </w:rPr>
        <w:t>”</w:t>
      </w:r>
      <w:r>
        <w:rPr>
          <w:rFonts w:hint="eastAsia" w:ascii="宋体" w:hAnsi="宋体"/>
          <w:color w:val="auto"/>
          <w:sz w:val="24"/>
          <w:highlight w:val="none"/>
        </w:rPr>
        <w:t>与</w:t>
      </w:r>
      <w:r>
        <w:rPr>
          <w:rFonts w:hint="eastAsia" w:ascii="宋体" w:hAnsi="宋体"/>
          <w:color w:val="auto"/>
          <w:sz w:val="24"/>
          <w:highlight w:val="none"/>
          <w:lang w:eastAsia="zh-CN"/>
        </w:rPr>
        <w:t>投标</w:t>
      </w:r>
      <w:r>
        <w:rPr>
          <w:rFonts w:hint="eastAsia" w:ascii="宋体" w:hAnsi="宋体"/>
          <w:color w:val="auto"/>
          <w:sz w:val="24"/>
          <w:highlight w:val="none"/>
          <w:lang w:val="en-US" w:eastAsia="zh-CN"/>
        </w:rPr>
        <w:t>文件其他关于</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投标报价</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的</w:t>
      </w:r>
      <w:r>
        <w:rPr>
          <w:rFonts w:hint="eastAsia" w:ascii="宋体" w:hAnsi="宋体"/>
          <w:color w:val="auto"/>
          <w:sz w:val="24"/>
          <w:highlight w:val="none"/>
        </w:rPr>
        <w:t>内容有不一致的，以开标一览表为准；</w:t>
      </w:r>
    </w:p>
    <w:p w14:paraId="2D33DC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2</w:t>
      </w:r>
      <w:r>
        <w:rPr>
          <w:rFonts w:hint="eastAsia" w:ascii="宋体" w:hAnsi="宋体"/>
          <w:color w:val="auto"/>
          <w:sz w:val="24"/>
          <w:highlight w:val="none"/>
          <w:lang w:eastAsia="zh-CN"/>
        </w:rPr>
        <w:t>）</w:t>
      </w:r>
      <w:r>
        <w:rPr>
          <w:rFonts w:hint="eastAsia" w:ascii="宋体" w:hAnsi="宋体"/>
          <w:color w:val="auto"/>
          <w:sz w:val="24"/>
          <w:highlight w:val="none"/>
        </w:rPr>
        <w:t>对不同文字文本投标文件的解释发生异议的，以中文文本为准。</w:t>
      </w:r>
    </w:p>
    <w:p w14:paraId="36371ECF">
      <w:pPr>
        <w:spacing w:line="360" w:lineRule="auto"/>
        <w:rPr>
          <w:rFonts w:hint="eastAsia" w:ascii="宋体" w:hAnsi="宋体"/>
          <w:color w:val="auto"/>
          <w:sz w:val="24"/>
          <w:highlight w:val="none"/>
        </w:rPr>
      </w:pPr>
      <w:r>
        <w:rPr>
          <w:rFonts w:hint="eastAsia" w:ascii="宋体" w:hAnsi="宋体"/>
          <w:color w:val="auto"/>
          <w:sz w:val="24"/>
          <w:highlight w:val="none"/>
        </w:rPr>
        <w:t>如果投标人不接受按上述方法对投标文件中的算术错误进行修正，其投标无效。</w:t>
      </w:r>
    </w:p>
    <w:p w14:paraId="762614C9">
      <w:pPr>
        <w:spacing w:line="360" w:lineRule="auto"/>
        <w:rPr>
          <w:rFonts w:ascii="宋体" w:hAnsi="宋体"/>
          <w:color w:val="auto"/>
          <w:sz w:val="24"/>
          <w:highlight w:val="none"/>
        </w:rPr>
      </w:pPr>
      <w:r>
        <w:rPr>
          <w:rFonts w:hint="eastAsia" w:ascii="宋体" w:hAnsi="宋体"/>
          <w:color w:val="auto"/>
          <w:sz w:val="24"/>
          <w:highlight w:val="none"/>
        </w:rPr>
        <w:t xml:space="preserve">17.3资格性检查和符合性检查 </w:t>
      </w:r>
    </w:p>
    <w:p w14:paraId="2FD88645">
      <w:pPr>
        <w:spacing w:line="360" w:lineRule="auto"/>
        <w:rPr>
          <w:rFonts w:ascii="宋体" w:hAnsi="宋体" w:cs="宋体"/>
          <w:color w:val="auto"/>
          <w:sz w:val="24"/>
          <w:highlight w:val="none"/>
        </w:rPr>
      </w:pPr>
      <w:r>
        <w:rPr>
          <w:rFonts w:hint="eastAsia" w:ascii="宋体" w:hAnsi="宋体"/>
          <w:color w:val="auto"/>
          <w:sz w:val="24"/>
          <w:highlight w:val="none"/>
        </w:rPr>
        <w:t>17.3.</w:t>
      </w:r>
      <w:r>
        <w:rPr>
          <w:rFonts w:ascii="宋体" w:hAnsi="宋体"/>
          <w:color w:val="auto"/>
          <w:sz w:val="24"/>
          <w:highlight w:val="none"/>
        </w:rPr>
        <w:t>1</w:t>
      </w:r>
      <w:r>
        <w:rPr>
          <w:rFonts w:hint="eastAsia" w:ascii="宋体" w:hAnsi="宋体"/>
          <w:color w:val="auto"/>
          <w:sz w:val="24"/>
          <w:highlight w:val="none"/>
        </w:rPr>
        <w:t>资格性检查。</w:t>
      </w:r>
      <w:r>
        <w:rPr>
          <w:rFonts w:hint="eastAsia" w:ascii="宋体" w:hAnsi="宋体" w:cs="宋体"/>
          <w:color w:val="auto"/>
          <w:sz w:val="24"/>
          <w:highlight w:val="none"/>
        </w:rPr>
        <w:t>评标委员会在对投标文件详细评估之前，评标委员会将依据投标人提交的投标文件按投标人须知前附表第2项所述的资格标准对投标人进行资格审查, 以确定其是否具备投标资格。如果投标人不具备投标资格，不满足招标文件所规定的资格标准或提供资格证明文件不全的, 其投标无效。</w:t>
      </w:r>
    </w:p>
    <w:p w14:paraId="55E2F9F0">
      <w:pPr>
        <w:spacing w:line="360" w:lineRule="auto"/>
        <w:rPr>
          <w:rFonts w:hint="eastAsia" w:ascii="宋体" w:hAnsi="宋体"/>
          <w:color w:val="auto"/>
          <w:sz w:val="24"/>
          <w:highlight w:val="none"/>
        </w:rPr>
      </w:pPr>
      <w:r>
        <w:rPr>
          <w:rFonts w:hint="eastAsia" w:ascii="宋体" w:hAnsi="宋体"/>
          <w:color w:val="auto"/>
          <w:sz w:val="24"/>
          <w:highlight w:val="none"/>
        </w:rPr>
        <w:t>17.3.2符合性检查。</w:t>
      </w:r>
    </w:p>
    <w:p w14:paraId="6ACDCFD6">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17.3.2.1</w:t>
      </w:r>
      <w:r>
        <w:rPr>
          <w:rFonts w:hint="eastAsia" w:ascii="宋体" w:hAnsi="宋体"/>
          <w:color w:val="auto"/>
          <w:sz w:val="24"/>
          <w:highlight w:val="none"/>
        </w:rPr>
        <w:t>依据招标文件的规定，评标委员会还将从投标文件的有效性、完整性和对招标文件的响应程度进行审查，以确定是否符合对招标文件的实质性要求作出响应。招标人可根据具体项目的情况对实质性要求作特别的规定。实质性偏离是指：（</w:t>
      </w:r>
      <w:r>
        <w:rPr>
          <w:rFonts w:ascii="宋体" w:hAnsi="宋体"/>
          <w:color w:val="auto"/>
          <w:sz w:val="24"/>
          <w:highlight w:val="none"/>
        </w:rPr>
        <w:t>1</w:t>
      </w:r>
      <w:r>
        <w:rPr>
          <w:rFonts w:hint="eastAsia" w:ascii="宋体" w:hAnsi="宋体"/>
          <w:color w:val="auto"/>
          <w:sz w:val="24"/>
          <w:highlight w:val="none"/>
        </w:rPr>
        <w:t>）实质性影响合同的范围、质量和履行；（</w:t>
      </w:r>
      <w:r>
        <w:rPr>
          <w:rFonts w:ascii="宋体" w:hAnsi="宋体"/>
          <w:color w:val="auto"/>
          <w:sz w:val="24"/>
          <w:highlight w:val="none"/>
        </w:rPr>
        <w:t>2</w:t>
      </w:r>
      <w:r>
        <w:rPr>
          <w:rFonts w:hint="eastAsia" w:ascii="宋体" w:hAnsi="宋体"/>
          <w:color w:val="auto"/>
          <w:sz w:val="24"/>
          <w:highlight w:val="none"/>
        </w:rPr>
        <w:t>）实质性违背招标文件，限制了招标人的权利和中标人合同项下的义务；（</w:t>
      </w:r>
      <w:r>
        <w:rPr>
          <w:rFonts w:ascii="宋体" w:hAnsi="宋体"/>
          <w:color w:val="auto"/>
          <w:sz w:val="24"/>
          <w:highlight w:val="none"/>
        </w:rPr>
        <w:t>3</w:t>
      </w:r>
      <w:r>
        <w:rPr>
          <w:rFonts w:hint="eastAsia" w:ascii="宋体" w:hAnsi="宋体"/>
          <w:color w:val="auto"/>
          <w:sz w:val="24"/>
          <w:highlight w:val="none"/>
        </w:rPr>
        <w:t>）不公正地影响了其它作出实质性响应的投标人的竞争地位。对没有实质性响应的投标文件无效。</w:t>
      </w:r>
    </w:p>
    <w:p w14:paraId="7DF24669">
      <w:pPr>
        <w:spacing w:line="360" w:lineRule="auto"/>
        <w:rPr>
          <w:rFonts w:ascii="宋体" w:hAnsi="宋体"/>
          <w:color w:val="auto"/>
          <w:sz w:val="24"/>
          <w:highlight w:val="none"/>
        </w:rPr>
      </w:pPr>
      <w:r>
        <w:rPr>
          <w:rFonts w:hint="eastAsia" w:ascii="宋体" w:hAnsi="宋体"/>
          <w:color w:val="auto"/>
          <w:sz w:val="24"/>
          <w:highlight w:val="none"/>
          <w:lang w:val="en-US" w:eastAsia="zh-CN"/>
        </w:rPr>
        <w:t>17.3.2.2</w:t>
      </w:r>
      <w:r>
        <w:rPr>
          <w:rFonts w:hint="eastAsia" w:ascii="宋体" w:hAnsi="宋体"/>
          <w:color w:val="auto"/>
          <w:sz w:val="24"/>
          <w:highlight w:val="none"/>
        </w:rPr>
        <w:t>凡有下列情况之一者，投标文件也将被视为未实质性响应招标文件要求，按无效投标处理。</w:t>
      </w:r>
    </w:p>
    <w:p w14:paraId="702D1C6F">
      <w:pPr>
        <w:spacing w:line="360" w:lineRule="auto"/>
        <w:rPr>
          <w:rFonts w:ascii="宋体" w:hAnsi="宋体"/>
          <w:color w:val="auto"/>
          <w:sz w:val="24"/>
          <w:highlight w:val="none"/>
        </w:rPr>
      </w:pPr>
      <w:r>
        <w:rPr>
          <w:rFonts w:hint="eastAsia" w:ascii="宋体" w:hAnsi="宋体"/>
          <w:color w:val="auto"/>
          <w:sz w:val="24"/>
          <w:highlight w:val="none"/>
        </w:rPr>
        <w:t>（1）投标文件未按照招标文件规定分为报价部分和技术商务部分的；或技术商务部分出现报价内容的；</w:t>
      </w:r>
    </w:p>
    <w:p w14:paraId="050A3B48">
      <w:pPr>
        <w:snapToGrid w:val="0"/>
        <w:spacing w:line="360" w:lineRule="auto"/>
        <w:rPr>
          <w:rFonts w:ascii="宋体" w:hAnsi="宋体"/>
          <w:color w:val="auto"/>
          <w:sz w:val="24"/>
          <w:highlight w:val="none"/>
        </w:rPr>
      </w:pPr>
      <w:r>
        <w:rPr>
          <w:rFonts w:hint="eastAsia" w:ascii="宋体" w:hAnsi="宋体"/>
          <w:color w:val="auto"/>
          <w:sz w:val="24"/>
          <w:highlight w:val="none"/>
        </w:rPr>
        <w:t>（2）投标文件未按本章第13、14条规定要求进行编制、胶装、标记的；</w:t>
      </w:r>
    </w:p>
    <w:p w14:paraId="2467FF45">
      <w:pPr>
        <w:tabs>
          <w:tab w:val="left" w:pos="720"/>
        </w:tabs>
        <w:adjustRightInd w:val="0"/>
        <w:snapToGrid w:val="0"/>
        <w:spacing w:line="360" w:lineRule="auto"/>
        <w:rPr>
          <w:rFonts w:ascii="宋体" w:hAnsi="宋体"/>
          <w:color w:val="auto"/>
          <w:sz w:val="24"/>
          <w:highlight w:val="none"/>
        </w:rPr>
      </w:pPr>
      <w:r>
        <w:rPr>
          <w:rFonts w:hint="eastAsia" w:ascii="宋体" w:hAnsi="宋体"/>
          <w:color w:val="auto"/>
          <w:sz w:val="24"/>
          <w:highlight w:val="none"/>
        </w:rPr>
        <w:t>（3）投标文件未按规定由投标人的</w:t>
      </w:r>
      <w:r>
        <w:rPr>
          <w:rFonts w:hint="eastAsia" w:ascii="宋体" w:hAnsi="宋体"/>
          <w:color w:val="auto"/>
          <w:sz w:val="24"/>
          <w:highlight w:val="none"/>
          <w:lang w:eastAsia="zh-CN"/>
        </w:rPr>
        <w:t>法定代表人</w:t>
      </w:r>
      <w:r>
        <w:rPr>
          <w:rFonts w:hint="eastAsia" w:ascii="宋体" w:hAnsi="宋体"/>
          <w:color w:val="auto"/>
          <w:sz w:val="24"/>
          <w:highlight w:val="none"/>
        </w:rPr>
        <w:t>或其授权代表签名的；或未加盖投标人公章的；或签名人未经</w:t>
      </w:r>
      <w:r>
        <w:rPr>
          <w:rFonts w:hint="eastAsia" w:ascii="宋体" w:hAnsi="宋体"/>
          <w:color w:val="auto"/>
          <w:sz w:val="24"/>
          <w:highlight w:val="none"/>
          <w:lang w:eastAsia="zh-CN"/>
        </w:rPr>
        <w:t>法定代表人</w:t>
      </w:r>
      <w:r>
        <w:rPr>
          <w:rFonts w:hint="eastAsia" w:ascii="宋体" w:hAnsi="宋体"/>
          <w:color w:val="auto"/>
          <w:sz w:val="24"/>
          <w:highlight w:val="none"/>
        </w:rPr>
        <w:t>有效授权委托的；</w:t>
      </w:r>
    </w:p>
    <w:p w14:paraId="6CB5D3EA">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）投标有效期不满足招标文件要求的；</w:t>
      </w:r>
    </w:p>
    <w:p w14:paraId="4D764DC5">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5</w:t>
      </w:r>
      <w:r>
        <w:rPr>
          <w:rFonts w:hint="eastAsia" w:ascii="宋体" w:hAnsi="宋体"/>
          <w:color w:val="auto"/>
          <w:sz w:val="24"/>
          <w:highlight w:val="none"/>
        </w:rPr>
        <w:t>）投标内容与招标内容及要求有重大偏离或保留的；</w:t>
      </w:r>
    </w:p>
    <w:p w14:paraId="53FEE173">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6</w:t>
      </w:r>
      <w:r>
        <w:rPr>
          <w:rFonts w:hint="eastAsia" w:ascii="宋体" w:hAnsi="宋体"/>
          <w:color w:val="auto"/>
          <w:sz w:val="24"/>
          <w:highlight w:val="none"/>
        </w:rPr>
        <w:t>）投标人提交的是可选择的报价；</w:t>
      </w:r>
    </w:p>
    <w:p w14:paraId="4EFA69A4">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）投标人未按规定进行报价；</w:t>
      </w:r>
    </w:p>
    <w:p w14:paraId="517BD53D">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）一个投标人不止投一个标；</w:t>
      </w:r>
    </w:p>
    <w:p w14:paraId="4BA43EE2">
      <w:pPr>
        <w:snapToGrid w:val="0"/>
        <w:spacing w:line="360" w:lineRule="auto"/>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）投标文件组成或份数不符合招标文件要求的；</w:t>
      </w:r>
    </w:p>
    <w:p w14:paraId="62B43C8A">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）投标文件中提供虚假或失实资料的；</w:t>
      </w:r>
    </w:p>
    <w:p w14:paraId="5F1BDC19">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）投标人的报价超过最高限价的；</w:t>
      </w:r>
    </w:p>
    <w:p w14:paraId="50F1A38A">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2</w:t>
      </w:r>
      <w:r>
        <w:rPr>
          <w:rFonts w:hint="eastAsia" w:ascii="宋体" w:hAnsi="宋体"/>
          <w:color w:val="auto"/>
          <w:sz w:val="24"/>
          <w:highlight w:val="none"/>
        </w:rPr>
        <w:t>）投标人的报价明显低于其他报价，使得其投标报价可能低于其个别成本，有可能影响商品质量或不能诚信履约，但不能合理说明原因或不能提供相关证明材料的；</w:t>
      </w:r>
    </w:p>
    <w:p w14:paraId="338972FE">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）投标人存在串通投标行为的；</w:t>
      </w:r>
    </w:p>
    <w:p w14:paraId="783834CA">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4</w:t>
      </w:r>
      <w:r>
        <w:rPr>
          <w:rFonts w:hint="eastAsia" w:ascii="宋体" w:hAnsi="宋体"/>
          <w:color w:val="auto"/>
          <w:sz w:val="24"/>
          <w:highlight w:val="none"/>
        </w:rPr>
        <w:t>）属于招标文件中规定的无效投标条款</w:t>
      </w:r>
      <w:r>
        <w:rPr>
          <w:rFonts w:hint="eastAsia" w:ascii="宋体" w:hAnsi="宋体"/>
          <w:color w:val="auto"/>
          <w:sz w:val="24"/>
          <w:highlight w:val="none"/>
          <w:lang w:eastAsia="zh-CN"/>
        </w:rPr>
        <w:t>或标注“★”条款</w:t>
      </w:r>
      <w:r>
        <w:rPr>
          <w:rFonts w:hint="eastAsia" w:ascii="宋体" w:hAnsi="宋体"/>
          <w:color w:val="auto"/>
          <w:sz w:val="24"/>
          <w:highlight w:val="none"/>
        </w:rPr>
        <w:t>的；</w:t>
      </w:r>
    </w:p>
    <w:p w14:paraId="55E3CE63">
      <w:pPr>
        <w:snapToGrid w:val="0"/>
        <w:spacing w:line="360" w:lineRule="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）不符合招标文件中规定的其它实质性条款。</w:t>
      </w:r>
    </w:p>
    <w:p w14:paraId="43E154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评标委员会决定投标的响应性只根据投标文件本身的内容，而不寻求其他的外部证据。</w:t>
      </w:r>
    </w:p>
    <w:p w14:paraId="19F30CDF">
      <w:pPr>
        <w:spacing w:line="360" w:lineRule="auto"/>
        <w:rPr>
          <w:rFonts w:ascii="宋体" w:hAnsi="宋体"/>
          <w:color w:val="auto"/>
          <w:sz w:val="24"/>
          <w:highlight w:val="none"/>
        </w:rPr>
      </w:pPr>
      <w:r>
        <w:rPr>
          <w:rFonts w:hint="eastAsia" w:ascii="宋体" w:hAnsi="宋体"/>
          <w:color w:val="auto"/>
          <w:sz w:val="24"/>
          <w:highlight w:val="none"/>
        </w:rPr>
        <w:t>但评标委员会可要求投标人对其在投标文件中提供的响应材料的真实性出具相关证明。</w:t>
      </w:r>
    </w:p>
    <w:p w14:paraId="67FA5AA9">
      <w:pPr>
        <w:spacing w:line="360" w:lineRule="auto"/>
        <w:outlineLvl w:val="2"/>
        <w:rPr>
          <w:rFonts w:ascii="宋体" w:hAnsi="宋体"/>
          <w:b/>
          <w:color w:val="auto"/>
          <w:sz w:val="24"/>
          <w:highlight w:val="none"/>
        </w:rPr>
      </w:pPr>
      <w:bookmarkStart w:id="67" w:name="_Toc31707"/>
      <w:bookmarkStart w:id="68" w:name="_Toc9395"/>
      <w:r>
        <w:rPr>
          <w:rFonts w:hint="eastAsia" w:ascii="宋体" w:hAnsi="宋体"/>
          <w:b/>
          <w:color w:val="auto"/>
          <w:sz w:val="24"/>
          <w:highlight w:val="none"/>
        </w:rPr>
        <w:t>18.投标文件的澄清</w:t>
      </w:r>
      <w:bookmarkEnd w:id="67"/>
      <w:bookmarkEnd w:id="68"/>
    </w:p>
    <w:p w14:paraId="61C06729">
      <w:pPr>
        <w:spacing w:line="360" w:lineRule="auto"/>
        <w:rPr>
          <w:rFonts w:ascii="宋体" w:hAnsi="宋体"/>
          <w:color w:val="auto"/>
          <w:sz w:val="24"/>
          <w:highlight w:val="none"/>
        </w:rPr>
      </w:pPr>
      <w:r>
        <w:rPr>
          <w:rFonts w:hint="eastAsia" w:ascii="宋体" w:hAnsi="宋体"/>
          <w:color w:val="auto"/>
          <w:sz w:val="24"/>
          <w:highlight w:val="none"/>
        </w:rPr>
        <w:t>18.1 对投标文件中含义不明确、同类问题表述不一致或者有明显文字和计算错误的内容，评标委员会可以书面形式要求投标人作出必要的澄清、说明或者纠正。投标人的澄清、说明或者纠正应当在评标委员会规定的时间内以书面形式作出，由其法定代表人或者授权代表签名，并不得超出投标文件的范围或者改变投标文件的实质性内容。</w:t>
      </w:r>
    </w:p>
    <w:p w14:paraId="56B050D6">
      <w:pPr>
        <w:adjustRightInd w:val="0"/>
        <w:snapToGrid w:val="0"/>
        <w:spacing w:line="360" w:lineRule="auto"/>
        <w:rPr>
          <w:rFonts w:ascii="宋体" w:hAnsi="宋体"/>
          <w:color w:val="auto"/>
          <w:sz w:val="24"/>
          <w:highlight w:val="none"/>
        </w:rPr>
      </w:pPr>
      <w:r>
        <w:rPr>
          <w:rFonts w:hint="eastAsia" w:ascii="宋体" w:hAnsi="宋体"/>
          <w:color w:val="auto"/>
          <w:sz w:val="24"/>
          <w:highlight w:val="none"/>
        </w:rPr>
        <w:t>18.2 对投标描述和证明材料不一致的，评标委员会应当要求投标人进行书面澄清，并以不利于投标人的内容为准进行评审。投标人的澄清、说明应当采用书面形式，并不得超出投标文件的范围或者改变投标文件的实质性内容。投标人按要求进行澄清的，招标人以澄清内容为准进行验收；投标人未按要求进行澄清的，招标人以投标描述、证明材料中有利于招标人的内容进行验收。</w:t>
      </w:r>
    </w:p>
    <w:p w14:paraId="0DD0341E">
      <w:pPr>
        <w:spacing w:line="360" w:lineRule="auto"/>
        <w:outlineLvl w:val="2"/>
        <w:rPr>
          <w:rFonts w:ascii="宋体" w:hAnsi="宋体"/>
          <w:b/>
          <w:color w:val="auto"/>
          <w:sz w:val="24"/>
          <w:highlight w:val="none"/>
        </w:rPr>
      </w:pPr>
      <w:bookmarkStart w:id="69" w:name="_Toc11848"/>
      <w:bookmarkStart w:id="70" w:name="_Toc15285"/>
      <w:r>
        <w:rPr>
          <w:rFonts w:hint="eastAsia" w:ascii="宋体" w:hAnsi="宋体"/>
          <w:b/>
          <w:color w:val="auto"/>
          <w:sz w:val="24"/>
          <w:highlight w:val="none"/>
        </w:rPr>
        <w:t>19. 比较与评价</w:t>
      </w:r>
      <w:bookmarkEnd w:id="69"/>
      <w:bookmarkEnd w:id="70"/>
    </w:p>
    <w:p w14:paraId="096AC512">
      <w:pPr>
        <w:spacing w:line="360" w:lineRule="auto"/>
        <w:rPr>
          <w:rFonts w:ascii="宋体" w:hAnsi="宋体"/>
          <w:color w:val="auto"/>
          <w:sz w:val="24"/>
          <w:highlight w:val="none"/>
        </w:rPr>
      </w:pPr>
      <w:r>
        <w:rPr>
          <w:rFonts w:hint="eastAsia" w:ascii="宋体" w:hAnsi="宋体"/>
          <w:color w:val="auto"/>
          <w:sz w:val="24"/>
          <w:highlight w:val="none"/>
        </w:rPr>
        <w:t>19.1  评标委员会将按投标人须知前附表所述评标方法与标准，对资格性检查和符合性检查合格的投标文件进行商务和技术评估，综合比较与评价。</w:t>
      </w:r>
    </w:p>
    <w:p w14:paraId="49AB0EB6">
      <w:pPr>
        <w:spacing w:line="360" w:lineRule="auto"/>
        <w:rPr>
          <w:rFonts w:ascii="宋体" w:hAnsi="宋体"/>
          <w:b/>
          <w:color w:val="auto"/>
          <w:sz w:val="24"/>
          <w:highlight w:val="none"/>
        </w:rPr>
      </w:pPr>
      <w:r>
        <w:rPr>
          <w:rFonts w:hint="eastAsia" w:ascii="宋体" w:hAnsi="宋体"/>
          <w:b/>
          <w:color w:val="auto"/>
          <w:sz w:val="24"/>
          <w:highlight w:val="none"/>
        </w:rPr>
        <w:t>19.2  对漏（缺）报项的处理：招标文件中要求列入报价的费用（含配置、功能），漏（缺）报的视同已含在投标总价中。对多报项及赠送项的价格评标时不予核减，全部进入评标价评议。</w:t>
      </w:r>
    </w:p>
    <w:p w14:paraId="3D9F3AC8">
      <w:pPr>
        <w:spacing w:line="360" w:lineRule="auto"/>
        <w:rPr>
          <w:rFonts w:ascii="宋体" w:hAnsi="宋体"/>
          <w:color w:val="auto"/>
          <w:sz w:val="24"/>
          <w:highlight w:val="none"/>
        </w:rPr>
      </w:pPr>
      <w:r>
        <w:rPr>
          <w:rFonts w:hint="eastAsia" w:ascii="宋体" w:hAnsi="宋体"/>
          <w:color w:val="auto"/>
          <w:sz w:val="24"/>
          <w:highlight w:val="none"/>
        </w:rPr>
        <w:t xml:space="preserve">19.3 </w:t>
      </w:r>
      <w:r>
        <w:rPr>
          <w:rFonts w:hint="eastAsia" w:ascii="宋体" w:hAnsi="宋体"/>
          <w:b/>
          <w:bCs/>
          <w:color w:val="auto"/>
          <w:sz w:val="24"/>
          <w:highlight w:val="none"/>
        </w:rPr>
        <w:t>若投标人的报价明显低于其他报价，使得其投标报价可能低于其个别成本，有可能影响商品质量或不能诚信履约的，投标人应按评标委员会要求作出书面说明并提供相关证明材料，不能合理说明或不能提供相关证明材料的，</w:t>
      </w:r>
      <w:r>
        <w:rPr>
          <w:rFonts w:hint="eastAsia" w:ascii="宋体" w:hAnsi="宋体"/>
          <w:b/>
          <w:bCs/>
          <w:color w:val="auto"/>
          <w:sz w:val="24"/>
          <w:highlight w:val="none"/>
          <w:lang w:eastAsia="zh-CN"/>
        </w:rPr>
        <w:t>评标委员会将按</w:t>
      </w:r>
      <w:r>
        <w:rPr>
          <w:rFonts w:hint="eastAsia" w:ascii="宋体" w:hAnsi="宋体"/>
          <w:b/>
          <w:bCs/>
          <w:color w:val="auto"/>
          <w:sz w:val="24"/>
          <w:highlight w:val="none"/>
        </w:rPr>
        <w:t>无效投标处理。</w:t>
      </w:r>
    </w:p>
    <w:p w14:paraId="707FD68A">
      <w:pPr>
        <w:spacing w:line="360" w:lineRule="auto"/>
        <w:rPr>
          <w:rFonts w:ascii="宋体" w:hAnsi="宋体"/>
          <w:color w:val="auto"/>
          <w:sz w:val="24"/>
          <w:highlight w:val="none"/>
        </w:rPr>
      </w:pPr>
      <w:r>
        <w:rPr>
          <w:rFonts w:hint="eastAsia" w:ascii="宋体" w:hAnsi="宋体"/>
          <w:color w:val="auto"/>
          <w:sz w:val="24"/>
          <w:highlight w:val="none"/>
        </w:rPr>
        <w:t>19.4评标委员会将按比较与评价最优在先原则, 排列评价顺序, 根据在投标人须知前附表中确定的中标候选人数量推荐出中标候选人。</w:t>
      </w:r>
    </w:p>
    <w:p w14:paraId="2567C9C0">
      <w:pPr>
        <w:spacing w:line="360" w:lineRule="auto"/>
        <w:rPr>
          <w:rFonts w:ascii="宋体" w:hAnsi="宋体"/>
          <w:color w:val="auto"/>
          <w:sz w:val="24"/>
          <w:highlight w:val="none"/>
        </w:rPr>
      </w:pPr>
      <w:r>
        <w:rPr>
          <w:rFonts w:hint="eastAsia" w:ascii="宋体" w:hAnsi="宋体"/>
          <w:color w:val="auto"/>
          <w:sz w:val="24"/>
          <w:highlight w:val="none"/>
        </w:rPr>
        <w:t>19.5 在评标期间，若出现符合</w:t>
      </w:r>
      <w:r>
        <w:rPr>
          <w:rFonts w:hint="eastAsia" w:ascii="宋体" w:hAnsi="宋体"/>
          <w:color w:val="auto"/>
          <w:sz w:val="24"/>
          <w:highlight w:val="none"/>
          <w:lang w:eastAsia="zh-CN"/>
        </w:rPr>
        <w:t>招标文件</w:t>
      </w:r>
      <w:r>
        <w:rPr>
          <w:rFonts w:hint="eastAsia" w:ascii="宋体" w:hAnsi="宋体"/>
          <w:color w:val="auto"/>
          <w:sz w:val="24"/>
          <w:highlight w:val="none"/>
        </w:rPr>
        <w:t>规定的所有投标条件的投标人不足三家情形的，本次招标程序终止，除采购任务取消情形外，招标单位将依法重新组织招标或者采取其他方式采购。</w:t>
      </w:r>
    </w:p>
    <w:p w14:paraId="3F5B01F4">
      <w:pPr>
        <w:widowControl/>
        <w:snapToGrid w:val="0"/>
        <w:spacing w:line="480" w:lineRule="exact"/>
        <w:jc w:val="left"/>
        <w:rPr>
          <w:rFonts w:hint="default" w:ascii="宋体" w:hAnsi="宋体" w:eastAsia="宋体" w:cs="Tahoma"/>
          <w:b/>
          <w:color w:val="auto"/>
          <w:kern w:val="0"/>
          <w:sz w:val="24"/>
          <w:highlight w:val="none"/>
          <w:lang w:val="en-US" w:eastAsia="zh-CN"/>
        </w:rPr>
      </w:pPr>
      <w:r>
        <w:rPr>
          <w:rFonts w:hint="eastAsia" w:ascii="宋体" w:hAnsi="宋体" w:cs="Tahoma"/>
          <w:b w:val="0"/>
          <w:bCs/>
          <w:color w:val="auto"/>
          <w:kern w:val="0"/>
          <w:sz w:val="24"/>
          <w:highlight w:val="none"/>
        </w:rPr>
        <w:t>19.6</w:t>
      </w:r>
      <w:r>
        <w:rPr>
          <w:rFonts w:hint="eastAsia" w:ascii="宋体" w:hAnsi="宋体"/>
          <w:b w:val="0"/>
          <w:bCs/>
          <w:color w:val="auto"/>
          <w:sz w:val="24"/>
          <w:highlight w:val="none"/>
        </w:rPr>
        <w:t>串</w:t>
      </w:r>
      <w:r>
        <w:rPr>
          <w:rFonts w:hint="eastAsia" w:ascii="宋体" w:hAnsi="宋体"/>
          <w:color w:val="auto"/>
          <w:sz w:val="24"/>
          <w:highlight w:val="none"/>
        </w:rPr>
        <w:t>通行为情形及处置</w:t>
      </w:r>
      <w:r>
        <w:rPr>
          <w:rFonts w:hint="eastAsia" w:ascii="宋体" w:hAnsi="宋体"/>
          <w:color w:val="auto"/>
          <w:sz w:val="24"/>
          <w:highlight w:val="none"/>
          <w:lang w:val="en-US" w:eastAsia="zh-CN"/>
        </w:rPr>
        <w:t>详见本文件“投标人须知前附表”。</w:t>
      </w:r>
    </w:p>
    <w:p w14:paraId="0B4285AD">
      <w:pPr>
        <w:spacing w:line="480" w:lineRule="exact"/>
        <w:jc w:val="left"/>
        <w:rPr>
          <w:rFonts w:ascii="宋体" w:hAnsi="宋体"/>
          <w:color w:val="auto"/>
          <w:sz w:val="24"/>
          <w:highlight w:val="none"/>
        </w:rPr>
      </w:pPr>
      <w:r>
        <w:rPr>
          <w:rFonts w:hint="eastAsia" w:ascii="宋体" w:hAnsi="宋体"/>
          <w:color w:val="auto"/>
          <w:sz w:val="24"/>
          <w:highlight w:val="none"/>
        </w:rPr>
        <w:t>19.7其他要求事项：招标人、招标代理机构不得向评标委员会的评审评标委员会作倾向性、误导性的解释或者说明。评标委员会成员应当按照客观、公正、审慎的原则，根据招标文件规定的评审程序、评审方法和评审标准进行独立评审。招标文件内容违反国家有关强制性规定的，评标委员会应当停止评审并向招标人或者招标代理机构说明情况。</w:t>
      </w:r>
    </w:p>
    <w:p w14:paraId="394D873A">
      <w:pPr>
        <w:spacing w:line="480" w:lineRule="exact"/>
        <w:ind w:firstLine="480"/>
        <w:jc w:val="left"/>
        <w:rPr>
          <w:rFonts w:ascii="宋体" w:hAnsi="宋体"/>
          <w:color w:val="auto"/>
          <w:sz w:val="24"/>
          <w:highlight w:val="none"/>
        </w:rPr>
      </w:pPr>
      <w:r>
        <w:rPr>
          <w:rFonts w:hint="eastAsia" w:ascii="宋体" w:hAnsi="宋体"/>
          <w:color w:val="auto"/>
          <w:sz w:val="24"/>
          <w:highlight w:val="none"/>
        </w:rPr>
        <w:t>评委对需要共同认定的事项存在争议的，应按照少数服从多数的原则进行认定。持不同意见的评委应在评标报告上签署不同意见及理由，否则视为同意评标报告。</w:t>
      </w:r>
    </w:p>
    <w:p w14:paraId="6C391E9E">
      <w:pPr>
        <w:spacing w:line="480" w:lineRule="exact"/>
        <w:ind w:firstLine="480"/>
        <w:jc w:val="left"/>
        <w:rPr>
          <w:rFonts w:ascii="宋体" w:hAnsi="宋体"/>
          <w:color w:val="auto"/>
          <w:szCs w:val="21"/>
          <w:highlight w:val="none"/>
        </w:rPr>
      </w:pPr>
      <w:r>
        <w:rPr>
          <w:rFonts w:hint="eastAsia" w:ascii="宋体" w:hAnsi="宋体"/>
          <w:color w:val="auto"/>
          <w:sz w:val="24"/>
          <w:highlight w:val="none"/>
        </w:rPr>
        <w:t>评标委员会成员应当在</w:t>
      </w:r>
      <w:r>
        <w:rPr>
          <w:rFonts w:hint="eastAsia" w:ascii="宋体" w:hAnsi="宋体"/>
          <w:color w:val="auto"/>
          <w:sz w:val="24"/>
          <w:highlight w:val="none"/>
          <w:lang w:eastAsia="zh-CN"/>
        </w:rPr>
        <w:t>评标报告</w:t>
      </w:r>
      <w:r>
        <w:rPr>
          <w:rFonts w:hint="eastAsia" w:ascii="宋体" w:hAnsi="宋体"/>
          <w:color w:val="auto"/>
          <w:sz w:val="24"/>
          <w:highlight w:val="none"/>
        </w:rPr>
        <w:t>上签字，对自己的评审意见承担法律责任。对</w:t>
      </w:r>
      <w:r>
        <w:rPr>
          <w:rFonts w:hint="eastAsia" w:ascii="宋体" w:hAnsi="宋体"/>
          <w:color w:val="auto"/>
          <w:sz w:val="24"/>
          <w:highlight w:val="none"/>
          <w:lang w:eastAsia="zh-CN"/>
        </w:rPr>
        <w:t>评标报告</w:t>
      </w:r>
      <w:r>
        <w:rPr>
          <w:rFonts w:hint="eastAsia" w:ascii="宋体" w:hAnsi="宋体"/>
          <w:color w:val="auto"/>
          <w:sz w:val="24"/>
          <w:highlight w:val="none"/>
        </w:rPr>
        <w:t>有异议的，应当在</w:t>
      </w:r>
      <w:r>
        <w:rPr>
          <w:rFonts w:hint="eastAsia" w:ascii="宋体" w:hAnsi="宋体"/>
          <w:color w:val="auto"/>
          <w:sz w:val="24"/>
          <w:highlight w:val="none"/>
          <w:lang w:eastAsia="zh-CN"/>
        </w:rPr>
        <w:t>评标报告</w:t>
      </w:r>
      <w:r>
        <w:rPr>
          <w:rFonts w:hint="eastAsia" w:ascii="宋体" w:hAnsi="宋体"/>
          <w:color w:val="auto"/>
          <w:sz w:val="24"/>
          <w:highlight w:val="none"/>
        </w:rPr>
        <w:t>上签署不同意见，并说明理由，否则视为同意</w:t>
      </w:r>
      <w:r>
        <w:rPr>
          <w:rFonts w:hint="eastAsia" w:ascii="宋体" w:hAnsi="宋体"/>
          <w:color w:val="auto"/>
          <w:sz w:val="24"/>
          <w:highlight w:val="none"/>
          <w:lang w:eastAsia="zh-CN"/>
        </w:rPr>
        <w:t>评标报告</w:t>
      </w:r>
      <w:r>
        <w:rPr>
          <w:rFonts w:hint="eastAsia" w:ascii="宋体" w:hAnsi="宋体"/>
          <w:color w:val="auto"/>
          <w:sz w:val="24"/>
          <w:highlight w:val="none"/>
        </w:rPr>
        <w:t>。</w:t>
      </w:r>
    </w:p>
    <w:p w14:paraId="55AEFDFB">
      <w:pPr>
        <w:spacing w:line="360" w:lineRule="auto"/>
        <w:jc w:val="center"/>
        <w:outlineLvl w:val="1"/>
        <w:rPr>
          <w:rFonts w:ascii="宋体" w:hAnsi="宋体"/>
          <w:b/>
          <w:color w:val="auto"/>
          <w:sz w:val="36"/>
          <w:szCs w:val="36"/>
          <w:highlight w:val="none"/>
        </w:rPr>
      </w:pPr>
    </w:p>
    <w:p w14:paraId="6C94A08B">
      <w:pPr>
        <w:spacing w:line="360" w:lineRule="auto"/>
        <w:jc w:val="center"/>
        <w:outlineLvl w:val="1"/>
        <w:rPr>
          <w:rFonts w:ascii="宋体" w:hAnsi="宋体"/>
          <w:b/>
          <w:color w:val="auto"/>
          <w:sz w:val="36"/>
          <w:szCs w:val="36"/>
          <w:highlight w:val="none"/>
        </w:rPr>
      </w:pPr>
      <w:bookmarkStart w:id="71" w:name="_Toc14047"/>
      <w:r>
        <w:rPr>
          <w:rFonts w:hint="eastAsia" w:ascii="宋体" w:hAnsi="宋体"/>
          <w:b/>
          <w:color w:val="auto"/>
          <w:sz w:val="36"/>
          <w:szCs w:val="36"/>
          <w:highlight w:val="none"/>
        </w:rPr>
        <w:t>六、定标与签订合同</w:t>
      </w:r>
      <w:bookmarkEnd w:id="71"/>
    </w:p>
    <w:p w14:paraId="03EFB5BC">
      <w:pPr>
        <w:spacing w:line="360" w:lineRule="auto"/>
        <w:outlineLvl w:val="2"/>
        <w:rPr>
          <w:rFonts w:ascii="宋体" w:hAnsi="宋体"/>
          <w:b/>
          <w:color w:val="auto"/>
          <w:sz w:val="24"/>
          <w:highlight w:val="none"/>
        </w:rPr>
      </w:pPr>
      <w:bookmarkStart w:id="72" w:name="_Toc30728"/>
      <w:bookmarkStart w:id="73" w:name="_Toc21648"/>
      <w:r>
        <w:rPr>
          <w:rFonts w:hint="eastAsia" w:ascii="宋体" w:hAnsi="宋体"/>
          <w:b/>
          <w:color w:val="auto"/>
          <w:sz w:val="24"/>
          <w:highlight w:val="none"/>
        </w:rPr>
        <w:t>20</w:t>
      </w:r>
      <w:r>
        <w:rPr>
          <w:rFonts w:ascii="宋体" w:hAnsi="宋体"/>
          <w:b/>
          <w:color w:val="auto"/>
          <w:sz w:val="24"/>
          <w:highlight w:val="none"/>
        </w:rPr>
        <w:t>.</w:t>
      </w:r>
      <w:r>
        <w:rPr>
          <w:rFonts w:hint="eastAsia" w:ascii="宋体" w:hAnsi="宋体"/>
          <w:b/>
          <w:color w:val="auto"/>
          <w:sz w:val="24"/>
          <w:highlight w:val="none"/>
        </w:rPr>
        <w:t>定标准则</w:t>
      </w:r>
      <w:bookmarkEnd w:id="72"/>
      <w:bookmarkEnd w:id="73"/>
    </w:p>
    <w:p w14:paraId="378EB516">
      <w:pPr>
        <w:spacing w:line="360" w:lineRule="auto"/>
        <w:rPr>
          <w:rFonts w:ascii="宋体" w:hAnsi="宋体"/>
          <w:color w:val="auto"/>
          <w:sz w:val="24"/>
          <w:highlight w:val="none"/>
        </w:rPr>
      </w:pPr>
      <w:r>
        <w:rPr>
          <w:rFonts w:hint="eastAsia" w:ascii="宋体" w:hAnsi="宋体"/>
          <w:color w:val="auto"/>
          <w:sz w:val="24"/>
          <w:highlight w:val="none"/>
        </w:rPr>
        <w:t>20</w:t>
      </w:r>
      <w:r>
        <w:rPr>
          <w:rFonts w:ascii="宋体" w:hAnsi="宋体"/>
          <w:color w:val="auto"/>
          <w:sz w:val="24"/>
          <w:highlight w:val="none"/>
        </w:rPr>
        <w:t>.1</w:t>
      </w:r>
      <w:r>
        <w:rPr>
          <w:rFonts w:hint="eastAsia" w:ascii="宋体" w:hAnsi="宋体"/>
          <w:color w:val="auto"/>
          <w:sz w:val="24"/>
          <w:highlight w:val="none"/>
        </w:rPr>
        <w:t>最低报价不作为中标的保证。</w:t>
      </w:r>
    </w:p>
    <w:p w14:paraId="21BAF808">
      <w:pPr>
        <w:spacing w:line="360" w:lineRule="auto"/>
        <w:rPr>
          <w:rFonts w:ascii="宋体" w:hAnsi="宋体"/>
          <w:color w:val="auto"/>
          <w:sz w:val="24"/>
          <w:highlight w:val="none"/>
        </w:rPr>
      </w:pPr>
      <w:r>
        <w:rPr>
          <w:rFonts w:hint="eastAsia" w:ascii="宋体" w:hAnsi="宋体"/>
          <w:color w:val="auto"/>
          <w:sz w:val="24"/>
          <w:highlight w:val="none"/>
        </w:rPr>
        <w:t>20.2投标人的投标文件满足招标文件全部实质性要求，按招标文件确定评标标准、方法，经评标委员会评审并推荐中标候选人。</w:t>
      </w:r>
    </w:p>
    <w:p w14:paraId="391983F9">
      <w:pPr>
        <w:spacing w:line="360" w:lineRule="auto"/>
        <w:rPr>
          <w:rFonts w:ascii="宋体" w:hAnsi="宋体"/>
          <w:color w:val="auto"/>
          <w:sz w:val="24"/>
          <w:highlight w:val="none"/>
        </w:rPr>
      </w:pPr>
      <w:r>
        <w:rPr>
          <w:rFonts w:hint="eastAsia" w:ascii="宋体" w:hAnsi="宋体"/>
          <w:color w:val="auto"/>
          <w:sz w:val="24"/>
          <w:highlight w:val="none"/>
        </w:rPr>
        <w:t>20.3招标人根据评标委员会推荐的中标候选人依法确定中标人。</w:t>
      </w:r>
      <w:r>
        <w:rPr>
          <w:rFonts w:hint="eastAsia" w:ascii="宋体" w:hAnsi="宋体" w:cs="Times New Roman"/>
          <w:color w:val="auto"/>
          <w:sz w:val="24"/>
          <w:highlight w:val="none"/>
        </w:rPr>
        <w:t>中标候选人放弃中标、因不可抗力不能履行合同</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或者被查实存在影响中标结果的违法行为等情形，不符合中标条件的，招标人可以按照评标委员会提出的中标候选人名单排序依次确定其他中标候选人为中标人，也可以重新招标。</w:t>
      </w:r>
    </w:p>
    <w:p w14:paraId="47DF8F19">
      <w:pPr>
        <w:spacing w:line="360" w:lineRule="auto"/>
        <w:outlineLvl w:val="2"/>
        <w:rPr>
          <w:rFonts w:ascii="宋体" w:hAnsi="宋体"/>
          <w:b/>
          <w:color w:val="auto"/>
          <w:sz w:val="24"/>
          <w:highlight w:val="none"/>
        </w:rPr>
      </w:pPr>
      <w:bookmarkStart w:id="74" w:name="_Toc754"/>
      <w:bookmarkStart w:id="75" w:name="_Toc16501"/>
      <w:r>
        <w:rPr>
          <w:rFonts w:hint="eastAsia" w:ascii="宋体" w:hAnsi="宋体"/>
          <w:b/>
          <w:color w:val="auto"/>
          <w:sz w:val="24"/>
          <w:highlight w:val="none"/>
        </w:rPr>
        <w:t>21</w:t>
      </w:r>
      <w:r>
        <w:rPr>
          <w:rFonts w:ascii="宋体" w:hAnsi="宋体"/>
          <w:b/>
          <w:color w:val="auto"/>
          <w:sz w:val="24"/>
          <w:highlight w:val="none"/>
        </w:rPr>
        <w:t xml:space="preserve">. </w:t>
      </w:r>
      <w:r>
        <w:rPr>
          <w:rFonts w:hint="eastAsia" w:ascii="宋体" w:hAnsi="宋体"/>
          <w:b/>
          <w:color w:val="auto"/>
          <w:sz w:val="24"/>
          <w:highlight w:val="none"/>
        </w:rPr>
        <w:t>中标通知</w:t>
      </w:r>
      <w:bookmarkEnd w:id="74"/>
      <w:bookmarkEnd w:id="75"/>
    </w:p>
    <w:p w14:paraId="4811E751">
      <w:pPr>
        <w:pStyle w:val="17"/>
        <w:spacing w:before="0" w:beforeAutospacing="0" w:after="0" w:afterAutospacing="0" w:line="360" w:lineRule="auto"/>
        <w:rPr>
          <w:color w:val="auto"/>
          <w:highlight w:val="none"/>
        </w:rPr>
      </w:pPr>
      <w:r>
        <w:rPr>
          <w:rFonts w:hint="eastAsia"/>
          <w:color w:val="auto"/>
          <w:highlight w:val="none"/>
        </w:rPr>
        <w:t>21.1评标结束且评标结果经招标人确认后，福建省宏瑞招标代理有限公司将在招标文件载明的指定媒体发布中标候选人公示，公示期不少于3日。</w:t>
      </w:r>
    </w:p>
    <w:p w14:paraId="54ECEE92">
      <w:pPr>
        <w:pStyle w:val="17"/>
        <w:spacing w:before="0" w:beforeAutospacing="0" w:after="0" w:afterAutospacing="0" w:line="360" w:lineRule="auto"/>
        <w:rPr>
          <w:rFonts w:hint="eastAsia" w:eastAsia="宋体"/>
          <w:color w:val="auto"/>
          <w:highlight w:val="none"/>
          <w:lang w:eastAsia="zh-CN"/>
        </w:rPr>
      </w:pPr>
      <w:r>
        <w:rPr>
          <w:rFonts w:hint="eastAsia"/>
          <w:color w:val="auto"/>
          <w:highlight w:val="none"/>
        </w:rPr>
        <w:t>21.2中标候选人公示结束后若无异议，招标代理机构将在招标文件载明的指定媒体发布中标结果公</w:t>
      </w:r>
      <w:r>
        <w:rPr>
          <w:rFonts w:hint="eastAsia"/>
          <w:color w:val="auto"/>
          <w:highlight w:val="none"/>
          <w:lang w:eastAsia="zh-CN"/>
        </w:rPr>
        <w:t>告</w:t>
      </w:r>
      <w:r>
        <w:rPr>
          <w:rFonts w:hint="eastAsia"/>
          <w:color w:val="auto"/>
          <w:highlight w:val="none"/>
        </w:rPr>
        <w:t>，中标结果公</w:t>
      </w:r>
      <w:r>
        <w:rPr>
          <w:rFonts w:hint="eastAsia"/>
          <w:color w:val="auto"/>
          <w:highlight w:val="none"/>
          <w:lang w:eastAsia="zh-CN"/>
        </w:rPr>
        <w:t>告</w:t>
      </w:r>
      <w:r>
        <w:rPr>
          <w:rFonts w:hint="eastAsia"/>
          <w:color w:val="auto"/>
          <w:highlight w:val="none"/>
        </w:rPr>
        <w:t>时间不少于10日。</w:t>
      </w:r>
      <w:r>
        <w:rPr>
          <w:rFonts w:hint="eastAsia"/>
          <w:color w:val="auto"/>
          <w:highlight w:val="none"/>
          <w:lang w:eastAsia="zh-CN"/>
        </w:rPr>
        <w:t>同时，招标人或招标代理机构</w:t>
      </w:r>
      <w:r>
        <w:rPr>
          <w:rFonts w:hint="eastAsia"/>
          <w:color w:val="auto"/>
          <w:highlight w:val="none"/>
        </w:rPr>
        <w:t>将向中标人发出中标通知书</w:t>
      </w:r>
      <w:r>
        <w:rPr>
          <w:rFonts w:hint="eastAsia"/>
          <w:color w:val="auto"/>
          <w:highlight w:val="none"/>
          <w:lang w:eastAsia="zh-CN"/>
        </w:rPr>
        <w:t>。</w:t>
      </w:r>
    </w:p>
    <w:p w14:paraId="32DA680B">
      <w:pPr>
        <w:pStyle w:val="17"/>
        <w:spacing w:before="0" w:beforeAutospacing="0" w:after="0" w:afterAutospacing="0" w:line="360" w:lineRule="auto"/>
        <w:rPr>
          <w:color w:val="auto"/>
          <w:highlight w:val="none"/>
        </w:rPr>
      </w:pPr>
      <w:r>
        <w:rPr>
          <w:rFonts w:hint="eastAsia"/>
          <w:color w:val="auto"/>
          <w:highlight w:val="none"/>
        </w:rPr>
        <w:t>21.3中标结果公</w:t>
      </w:r>
      <w:r>
        <w:rPr>
          <w:rFonts w:hint="eastAsia"/>
          <w:color w:val="auto"/>
          <w:highlight w:val="none"/>
          <w:lang w:eastAsia="zh-CN"/>
        </w:rPr>
        <w:t>告</w:t>
      </w:r>
      <w:r>
        <w:rPr>
          <w:rFonts w:hint="eastAsia"/>
          <w:color w:val="auto"/>
          <w:highlight w:val="none"/>
        </w:rPr>
        <w:t>同时作为福建省宏瑞招标代理有限公司通知除中标人外的其他投标人没有中标的书面形式。</w:t>
      </w:r>
    </w:p>
    <w:p w14:paraId="0406594B">
      <w:pPr>
        <w:pStyle w:val="17"/>
        <w:spacing w:before="0" w:beforeAutospacing="0" w:after="0" w:afterAutospacing="0" w:line="360" w:lineRule="auto"/>
        <w:rPr>
          <w:color w:val="auto"/>
          <w:highlight w:val="none"/>
        </w:rPr>
      </w:pPr>
      <w:r>
        <w:rPr>
          <w:rFonts w:hint="eastAsia"/>
          <w:color w:val="auto"/>
          <w:highlight w:val="none"/>
        </w:rPr>
        <w:t>21.4中标通知书对招标人和中标人具有同等法律效力。中标通知书发出后，招标人改变中标结果，或者中标人放弃中标，应按相关法律、规章、规范性文件的要求承担相应的法律责任。</w:t>
      </w:r>
    </w:p>
    <w:p w14:paraId="51207177">
      <w:pPr>
        <w:pStyle w:val="17"/>
        <w:spacing w:before="0" w:beforeAutospacing="0" w:after="0" w:afterAutospacing="0" w:line="360" w:lineRule="auto"/>
        <w:rPr>
          <w:color w:val="auto"/>
          <w:highlight w:val="none"/>
        </w:rPr>
      </w:pPr>
      <w:r>
        <w:rPr>
          <w:rFonts w:hint="eastAsia"/>
          <w:color w:val="auto"/>
          <w:highlight w:val="none"/>
        </w:rPr>
        <w:t>21.5《中标通知书》将作为签订合同的依据。《合同》签订后，《中标通知书》成为《合同》的一部分。</w:t>
      </w:r>
    </w:p>
    <w:p w14:paraId="5242378B">
      <w:pPr>
        <w:pStyle w:val="17"/>
        <w:spacing w:before="0" w:beforeAutospacing="0" w:after="0" w:afterAutospacing="0" w:line="360" w:lineRule="auto"/>
        <w:rPr>
          <w:color w:val="auto"/>
          <w:highlight w:val="none"/>
        </w:rPr>
      </w:pPr>
      <w:r>
        <w:rPr>
          <w:rFonts w:hint="eastAsia"/>
          <w:color w:val="auto"/>
          <w:highlight w:val="none"/>
        </w:rPr>
        <w:t>21.6《中标通知书》发出后5个工作日内，招标代理机构以原缴交方式向未中标的投标人退还其投标保证金。在合同签订后5个工作日内，以原缴交方式退还中标人的投标保证金。</w:t>
      </w:r>
    </w:p>
    <w:p w14:paraId="6BD8F6E5">
      <w:pPr>
        <w:pStyle w:val="31"/>
        <w:spacing w:line="480" w:lineRule="exact"/>
        <w:outlineLvl w:val="2"/>
        <w:rPr>
          <w:rFonts w:hAnsi="宋体"/>
          <w:b/>
          <w:color w:val="auto"/>
          <w:highlight w:val="none"/>
        </w:rPr>
      </w:pPr>
      <w:bookmarkStart w:id="76" w:name="_Toc6514"/>
      <w:bookmarkStart w:id="77" w:name="_Toc5702"/>
      <w:r>
        <w:rPr>
          <w:rFonts w:hint="eastAsia" w:hAnsi="宋体"/>
          <w:b/>
          <w:bCs/>
          <w:color w:val="auto"/>
          <w:highlight w:val="none"/>
        </w:rPr>
        <w:t>22</w:t>
      </w:r>
      <w:r>
        <w:rPr>
          <w:rFonts w:hint="eastAsia" w:hAnsi="宋体"/>
          <w:b/>
          <w:color w:val="auto"/>
          <w:highlight w:val="none"/>
        </w:rPr>
        <w:t>.签订合同</w:t>
      </w:r>
      <w:bookmarkEnd w:id="76"/>
      <w:bookmarkEnd w:id="77"/>
    </w:p>
    <w:p w14:paraId="6F08B533">
      <w:pPr>
        <w:spacing w:line="480" w:lineRule="exac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1招标人、中标人在《中标通知书》发出之日起30日内，根据招标文件确定的事项和中标人投标文件，参</w:t>
      </w:r>
      <w:r>
        <w:rPr>
          <w:rFonts w:hint="eastAsia" w:ascii="宋体" w:hAnsi="宋体"/>
          <w:color w:val="auto"/>
          <w:sz w:val="24"/>
          <w:highlight w:val="none"/>
          <w:lang w:eastAsia="zh-CN"/>
        </w:rPr>
        <w:t>考</w:t>
      </w:r>
      <w:r>
        <w:rPr>
          <w:rFonts w:hint="eastAsia" w:ascii="宋体" w:hAnsi="宋体"/>
          <w:color w:val="auto"/>
          <w:sz w:val="24"/>
          <w:highlight w:val="none"/>
        </w:rPr>
        <w:t>本招标文件第四章的《合同》文本签订合同。双方所签订的合同不得对招标文件和中标人投标文件作实质性修改。中标人逾期未签订合同，按照有关法律规定承担相应的法律责任；招标代理机构将没收其投标保证金，以抵偿对招标人造成的损失。招标人逾期不与中标人签订合同的，按有关规定处理。</w:t>
      </w:r>
    </w:p>
    <w:p w14:paraId="34A0E8A0">
      <w:pPr>
        <w:spacing w:line="480" w:lineRule="exact"/>
        <w:rPr>
          <w:rFonts w:ascii="宋体" w:hAnsi="宋体"/>
          <w:color w:val="auto"/>
          <w:sz w:val="24"/>
          <w:highlight w:val="none"/>
        </w:rPr>
      </w:pPr>
      <w:r>
        <w:rPr>
          <w:rFonts w:hint="eastAsia" w:ascii="宋体" w:hAnsi="宋体"/>
          <w:color w:val="auto"/>
          <w:sz w:val="24"/>
          <w:highlight w:val="none"/>
        </w:rPr>
        <w:t>22</w:t>
      </w:r>
      <w:r>
        <w:rPr>
          <w:rFonts w:ascii="宋体" w:hAnsi="宋体"/>
          <w:color w:val="auto"/>
          <w:sz w:val="24"/>
          <w:highlight w:val="none"/>
        </w:rPr>
        <w:t>.</w:t>
      </w:r>
      <w:r>
        <w:rPr>
          <w:rFonts w:hint="eastAsia" w:ascii="宋体" w:hAnsi="宋体"/>
          <w:color w:val="auto"/>
          <w:sz w:val="24"/>
          <w:highlight w:val="none"/>
        </w:rPr>
        <w:t>2招标文件、招标文件的修改文件、中标人的投标文件、补充或修改的文件及澄清或承诺文件等，均为双方签订《合同》的组成部分，并与《合同》一并作为本招标文件所列采购项目的互补性法律文件，与《合同》具有同等法律效力。</w:t>
      </w:r>
    </w:p>
    <w:p w14:paraId="5B013374">
      <w:pPr>
        <w:spacing w:line="480" w:lineRule="exact"/>
        <w:rPr>
          <w:rFonts w:eastAsia="黑体"/>
          <w:color w:val="auto"/>
          <w:highlight w:val="none"/>
        </w:rPr>
      </w:pPr>
      <w:r>
        <w:rPr>
          <w:rFonts w:hint="eastAsia" w:ascii="宋体" w:hAnsi="宋体"/>
          <w:color w:val="auto"/>
          <w:sz w:val="24"/>
          <w:highlight w:val="none"/>
        </w:rPr>
        <w:t>22.3合同履行过程中，招标人若需追加与合同标的相同的服务，则追加采购金额不得超过原合同金额的10%。</w:t>
      </w:r>
    </w:p>
    <w:p w14:paraId="7810AF87">
      <w:pPr>
        <w:spacing w:line="480" w:lineRule="exact"/>
        <w:outlineLvl w:val="2"/>
        <w:rPr>
          <w:rFonts w:ascii="宋体" w:hAnsi="宋体" w:cs="宋体"/>
          <w:b/>
          <w:color w:val="auto"/>
          <w:sz w:val="24"/>
          <w:highlight w:val="none"/>
        </w:rPr>
      </w:pPr>
      <w:bookmarkStart w:id="78" w:name="_Toc9798"/>
      <w:bookmarkStart w:id="79" w:name="_Toc2278"/>
      <w:r>
        <w:rPr>
          <w:rFonts w:hint="eastAsia" w:ascii="宋体" w:hAnsi="宋体" w:cs="宋体"/>
          <w:b/>
          <w:color w:val="auto"/>
          <w:sz w:val="24"/>
          <w:highlight w:val="none"/>
        </w:rPr>
        <w:t>23.异议处理时限及要求</w:t>
      </w:r>
      <w:bookmarkEnd w:id="78"/>
      <w:bookmarkEnd w:id="79"/>
    </w:p>
    <w:p w14:paraId="21D122D7">
      <w:pPr>
        <w:spacing w:line="480" w:lineRule="exact"/>
        <w:rPr>
          <w:rFonts w:ascii="宋体" w:hAnsi="宋体" w:cs="宋体"/>
          <w:color w:val="auto"/>
          <w:sz w:val="24"/>
          <w:highlight w:val="none"/>
        </w:rPr>
      </w:pPr>
      <w:bookmarkStart w:id="80" w:name="_Toc26651"/>
      <w:r>
        <w:rPr>
          <w:rFonts w:hint="eastAsia" w:ascii="宋体" w:hAnsi="宋体" w:cs="宋体"/>
          <w:color w:val="auto"/>
          <w:sz w:val="24"/>
          <w:highlight w:val="none"/>
        </w:rPr>
        <w:t>23.1投标人对招标文件或评标结果有异议的，应当在本章23.2条规定的期限内以书面形式向招标人、招标代理机构提出异议并提供证明材料；招标人、招标代理机构在收到异议后3日内作出书面答复。</w:t>
      </w:r>
    </w:p>
    <w:p w14:paraId="276C7345">
      <w:pPr>
        <w:spacing w:line="480" w:lineRule="exact"/>
        <w:rPr>
          <w:rFonts w:ascii="宋体" w:hAnsi="宋体" w:cs="宋体"/>
          <w:color w:val="auto"/>
          <w:sz w:val="24"/>
          <w:highlight w:val="none"/>
        </w:rPr>
      </w:pPr>
      <w:r>
        <w:rPr>
          <w:rFonts w:hint="eastAsia" w:ascii="宋体" w:hAnsi="宋体" w:cs="宋体"/>
          <w:color w:val="auto"/>
          <w:sz w:val="24"/>
          <w:highlight w:val="none"/>
        </w:rPr>
        <w:t xml:space="preserve">23.2提出异议期限的计算，依照下列规定办理： </w:t>
      </w:r>
    </w:p>
    <w:p w14:paraId="16A5676C">
      <w:pPr>
        <w:spacing w:line="480" w:lineRule="exact"/>
        <w:rPr>
          <w:rFonts w:ascii="宋体" w:hAnsi="宋体" w:cs="宋体"/>
          <w:color w:val="auto"/>
          <w:sz w:val="24"/>
          <w:highlight w:val="none"/>
        </w:rPr>
      </w:pPr>
      <w:r>
        <w:rPr>
          <w:rFonts w:hint="eastAsia" w:ascii="宋体" w:hAnsi="宋体" w:cs="宋体"/>
          <w:color w:val="auto"/>
          <w:sz w:val="24"/>
          <w:highlight w:val="none"/>
        </w:rPr>
        <w:t>①对招标文件提出异议的：应当在投标截止时间10日前提出。</w:t>
      </w:r>
    </w:p>
    <w:p w14:paraId="5ED54514">
      <w:pPr>
        <w:spacing w:line="480" w:lineRule="exact"/>
        <w:rPr>
          <w:rFonts w:ascii="宋体" w:hAnsi="宋体" w:cs="宋体"/>
          <w:color w:val="auto"/>
          <w:sz w:val="24"/>
          <w:highlight w:val="none"/>
        </w:rPr>
      </w:pPr>
      <w:r>
        <w:rPr>
          <w:rFonts w:hint="eastAsia" w:ascii="宋体" w:hAnsi="宋体" w:cs="宋体"/>
          <w:color w:val="auto"/>
          <w:sz w:val="24"/>
          <w:highlight w:val="none"/>
        </w:rPr>
        <w:t>②对开标有异议的，必须在开标现场提出，开标结束后，投标人不得对开标环节提出异议。</w:t>
      </w:r>
    </w:p>
    <w:p w14:paraId="7BE980DB">
      <w:pPr>
        <w:spacing w:line="480" w:lineRule="exact"/>
        <w:rPr>
          <w:rFonts w:ascii="宋体" w:hAnsi="宋体" w:cs="宋体"/>
          <w:color w:val="auto"/>
          <w:sz w:val="24"/>
          <w:highlight w:val="none"/>
        </w:rPr>
      </w:pPr>
      <w:r>
        <w:rPr>
          <w:rFonts w:hint="eastAsia" w:ascii="宋体" w:hAnsi="宋体" w:cs="宋体"/>
          <w:color w:val="auto"/>
          <w:sz w:val="24"/>
          <w:highlight w:val="none"/>
        </w:rPr>
        <w:t>③对</w:t>
      </w:r>
      <w:r>
        <w:rPr>
          <w:rFonts w:hint="eastAsia" w:ascii="宋体" w:hAnsi="宋体"/>
          <w:color w:val="auto"/>
          <w:sz w:val="24"/>
          <w:highlight w:val="none"/>
        </w:rPr>
        <w:t>评标结果</w:t>
      </w:r>
      <w:r>
        <w:rPr>
          <w:rFonts w:hint="eastAsia" w:ascii="宋体" w:hAnsi="宋体" w:cs="宋体"/>
          <w:color w:val="auto"/>
          <w:sz w:val="24"/>
          <w:highlight w:val="none"/>
        </w:rPr>
        <w:t>提出异议的，必须在中标候选人公示期内提出。</w:t>
      </w:r>
    </w:p>
    <w:p w14:paraId="1F5AD013">
      <w:pPr>
        <w:spacing w:line="480" w:lineRule="exact"/>
        <w:rPr>
          <w:rFonts w:ascii="宋体" w:hAnsi="宋体" w:cs="宋体"/>
          <w:color w:val="auto"/>
          <w:sz w:val="24"/>
          <w:highlight w:val="none"/>
        </w:rPr>
      </w:pPr>
      <w:r>
        <w:rPr>
          <w:rFonts w:hint="eastAsia" w:ascii="宋体" w:hAnsi="宋体" w:cs="宋体"/>
          <w:color w:val="auto"/>
          <w:sz w:val="24"/>
          <w:highlight w:val="none"/>
        </w:rPr>
        <w:t>④</w:t>
      </w:r>
      <w:r>
        <w:rPr>
          <w:rFonts w:hint="eastAsia" w:ascii="宋体" w:hAnsi="宋体"/>
          <w:color w:val="auto"/>
          <w:sz w:val="24"/>
          <w:highlight w:val="none"/>
        </w:rPr>
        <w:t>对中标结果提出异议的，必须在中标结果公示期内提出。</w:t>
      </w:r>
    </w:p>
    <w:p w14:paraId="79828704">
      <w:pPr>
        <w:spacing w:line="480" w:lineRule="exact"/>
        <w:rPr>
          <w:rFonts w:ascii="宋体" w:hAnsi="宋体" w:cs="宋体"/>
          <w:bCs/>
          <w:color w:val="auto"/>
          <w:sz w:val="24"/>
          <w:highlight w:val="none"/>
        </w:rPr>
      </w:pPr>
      <w:r>
        <w:rPr>
          <w:rFonts w:hint="eastAsia" w:ascii="宋体" w:hAnsi="宋体" w:cs="宋体"/>
          <w:color w:val="auto"/>
          <w:sz w:val="24"/>
          <w:highlight w:val="none"/>
        </w:rPr>
        <w:t>23.3</w:t>
      </w:r>
      <w:r>
        <w:rPr>
          <w:rFonts w:hint="eastAsia" w:ascii="宋体" w:hAnsi="宋体" w:cs="宋体"/>
          <w:bCs/>
          <w:color w:val="auto"/>
          <w:sz w:val="24"/>
          <w:highlight w:val="none"/>
        </w:rPr>
        <w:t>投标人提出异议</w:t>
      </w:r>
      <w:r>
        <w:rPr>
          <w:rFonts w:hint="eastAsia" w:ascii="宋体" w:hAnsi="宋体" w:cs="宋体"/>
          <w:bCs/>
          <w:color w:val="auto"/>
          <w:sz w:val="24"/>
          <w:highlight w:val="none"/>
          <w:lang w:eastAsia="zh-CN"/>
        </w:rPr>
        <w:t>的</w:t>
      </w:r>
      <w:r>
        <w:rPr>
          <w:rFonts w:hint="eastAsia" w:ascii="宋体" w:hAnsi="宋体" w:cs="宋体"/>
          <w:bCs/>
          <w:color w:val="auto"/>
          <w:sz w:val="24"/>
          <w:highlight w:val="none"/>
        </w:rPr>
        <w:t>,应提交由法定代表人或授权代表（提供授权函）签署、加盖公章的书面异议书（函）原件（拒绝传真、电邮、电话等其它形式）并携带营业执照复印件送</w:t>
      </w:r>
      <w:r>
        <w:rPr>
          <w:rFonts w:hint="eastAsia" w:ascii="宋体" w:hAnsi="宋体" w:cs="宋体"/>
          <w:bCs/>
          <w:color w:val="auto"/>
          <w:sz w:val="24"/>
          <w:highlight w:val="none"/>
          <w:lang w:eastAsia="zh-CN"/>
        </w:rPr>
        <w:t>至</w:t>
      </w:r>
      <w:r>
        <w:rPr>
          <w:rFonts w:hint="eastAsia" w:ascii="宋体" w:hAnsi="宋体" w:cs="宋体"/>
          <w:bCs/>
          <w:color w:val="auto"/>
          <w:sz w:val="24"/>
          <w:highlight w:val="none"/>
        </w:rPr>
        <w:t>招标代理机构。招标代理机构有权要求投标人提供营业执照原件进行核查，投标人若无法提供原件或与原件不符的，招标代理机构有权不予接收异议书（函）。异议书（函）须包含具体的异议事项，并列明招标文件、招标过程、中标结果使自己的合法权益受到损害的事实依据、理由及相关证明材料，异议事项若属于有关法律、法规和规章规定处于保密阶段的事项，投标人必须提供信息来源或有效证据。投标人未按上述要求提交异议的，招标代理机构有权不予接收受理。</w:t>
      </w:r>
    </w:p>
    <w:p w14:paraId="16D833F4">
      <w:pPr>
        <w:spacing w:line="440" w:lineRule="exact"/>
        <w:outlineLvl w:val="2"/>
        <w:rPr>
          <w:rFonts w:ascii="宋体" w:hAnsi="宋体" w:cs="宋体"/>
          <w:bCs/>
          <w:color w:val="auto"/>
          <w:sz w:val="24"/>
          <w:highlight w:val="none"/>
        </w:rPr>
      </w:pPr>
      <w:bookmarkStart w:id="81" w:name="_Toc22429"/>
      <w:r>
        <w:rPr>
          <w:rFonts w:hint="eastAsia" w:ascii="宋体" w:hAnsi="宋体" w:cs="宋体"/>
          <w:bCs/>
          <w:color w:val="auto"/>
          <w:sz w:val="24"/>
          <w:highlight w:val="none"/>
        </w:rPr>
        <w:t>23.4招标人或招标代理机构将按《中华人民共和国招标投标法实施条例》第二十二条、第四十四条、第五十四条等规定作出答复。</w:t>
      </w:r>
      <w:bookmarkEnd w:id="81"/>
    </w:p>
    <w:p w14:paraId="4B08ACC5">
      <w:pPr>
        <w:spacing w:line="440" w:lineRule="exact"/>
        <w:outlineLvl w:val="2"/>
        <w:rPr>
          <w:rFonts w:ascii="宋体" w:hAnsi="宋体" w:cs="宋体"/>
          <w:b/>
          <w:color w:val="auto"/>
          <w:sz w:val="24"/>
          <w:highlight w:val="none"/>
        </w:rPr>
      </w:pPr>
      <w:bookmarkStart w:id="82" w:name="_Toc12915"/>
      <w:r>
        <w:rPr>
          <w:rFonts w:hint="eastAsia" w:ascii="宋体" w:hAnsi="宋体" w:cs="宋体"/>
          <w:b/>
          <w:color w:val="auto"/>
          <w:sz w:val="24"/>
          <w:highlight w:val="none"/>
        </w:rPr>
        <w:t>24.招标项目监督部门</w:t>
      </w:r>
      <w:bookmarkEnd w:id="80"/>
      <w:bookmarkEnd w:id="82"/>
    </w:p>
    <w:p w14:paraId="001BB5AC">
      <w:pPr>
        <w:spacing w:line="440" w:lineRule="exact"/>
        <w:rPr>
          <w:rFonts w:ascii="宋体" w:hAnsi="宋体" w:cs="宋体"/>
          <w:color w:val="auto"/>
          <w:sz w:val="24"/>
          <w:highlight w:val="none"/>
        </w:rPr>
      </w:pPr>
      <w:r>
        <w:rPr>
          <w:rFonts w:hint="eastAsia" w:ascii="宋体" w:hAnsi="宋体" w:cs="宋体"/>
          <w:color w:val="auto"/>
          <w:sz w:val="24"/>
          <w:highlight w:val="none"/>
        </w:rPr>
        <w:t>24.1由招标项目监督部门派员对</w:t>
      </w:r>
      <w:r>
        <w:rPr>
          <w:rFonts w:hint="eastAsia" w:ascii="宋体" w:hAnsi="宋体" w:cs="宋体"/>
          <w:color w:val="auto"/>
          <w:sz w:val="24"/>
          <w:highlight w:val="none"/>
          <w:lang w:eastAsia="zh-CN"/>
        </w:rPr>
        <w:t>本次</w:t>
      </w:r>
      <w:r>
        <w:rPr>
          <w:rFonts w:hint="eastAsia" w:ascii="宋体" w:hAnsi="宋体" w:cs="宋体"/>
          <w:color w:val="auto"/>
          <w:sz w:val="24"/>
          <w:highlight w:val="none"/>
        </w:rPr>
        <w:t>招标活动的全程进行监督。</w:t>
      </w:r>
    </w:p>
    <w:p w14:paraId="641EFE2C">
      <w:pPr>
        <w:spacing w:line="440" w:lineRule="exact"/>
        <w:rPr>
          <w:rFonts w:ascii="宋体" w:hAnsi="宋体" w:cs="宋体"/>
          <w:color w:val="auto"/>
          <w:sz w:val="24"/>
          <w:highlight w:val="none"/>
        </w:rPr>
      </w:pPr>
      <w:r>
        <w:rPr>
          <w:rFonts w:hint="eastAsia" w:ascii="宋体" w:hAnsi="宋体" w:cs="宋体"/>
          <w:color w:val="auto"/>
          <w:sz w:val="24"/>
          <w:highlight w:val="none"/>
        </w:rPr>
        <w:t>24.2投标人如对招标活动有异议，可以按照</w:t>
      </w:r>
      <w:r>
        <w:rPr>
          <w:rFonts w:hint="eastAsia" w:ascii="宋体" w:hAnsi="宋体" w:cs="宋体"/>
          <w:bCs/>
          <w:color w:val="auto"/>
          <w:sz w:val="24"/>
          <w:highlight w:val="none"/>
        </w:rPr>
        <w:t>《中华人民共和国招标投标法实施条例》第六十条</w:t>
      </w:r>
      <w:r>
        <w:rPr>
          <w:rFonts w:hint="eastAsia" w:ascii="宋体" w:hAnsi="宋体" w:cs="宋体"/>
          <w:color w:val="auto"/>
          <w:sz w:val="24"/>
          <w:highlight w:val="none"/>
        </w:rPr>
        <w:t>向投标人须知前附表所述招标项目监督部门投诉。</w:t>
      </w:r>
    </w:p>
    <w:p w14:paraId="0ADBFEC4">
      <w:pPr>
        <w:pStyle w:val="28"/>
        <w:rPr>
          <w:rFonts w:ascii="宋体" w:hAnsi="宋体" w:cs="宋体"/>
          <w:color w:val="auto"/>
          <w:sz w:val="24"/>
          <w:highlight w:val="none"/>
        </w:rPr>
      </w:pPr>
    </w:p>
    <w:p w14:paraId="6A7416C2">
      <w:pPr>
        <w:pStyle w:val="28"/>
        <w:rPr>
          <w:rFonts w:ascii="宋体" w:hAnsi="宋体" w:cs="宋体"/>
          <w:color w:val="auto"/>
          <w:sz w:val="24"/>
          <w:highlight w:val="none"/>
        </w:rPr>
      </w:pPr>
    </w:p>
    <w:p w14:paraId="4FF0AD16">
      <w:pPr>
        <w:pStyle w:val="28"/>
        <w:rPr>
          <w:rFonts w:ascii="宋体" w:hAnsi="宋体" w:cs="宋体"/>
          <w:color w:val="auto"/>
          <w:sz w:val="24"/>
          <w:highlight w:val="none"/>
        </w:rPr>
      </w:pPr>
    </w:p>
    <w:p w14:paraId="1C3D8EE0">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047DBC80">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426F5157">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2FED6061">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73C632F4">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328FAD08">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046CFEC6">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19FA8C30">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6E873DA7">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7EE723E2">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318CC524">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4B43E3C0">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54CA88E6">
      <w:pPr>
        <w:numPr>
          <w:ilvl w:val="0"/>
          <w:numId w:val="0"/>
        </w:numPr>
        <w:spacing w:line="360" w:lineRule="auto"/>
        <w:jc w:val="center"/>
        <w:outlineLvl w:val="0"/>
        <w:rPr>
          <w:rFonts w:hint="eastAsia" w:ascii="宋体" w:hAnsi="宋体" w:eastAsia="宋体" w:cs="宋体"/>
          <w:b/>
          <w:bCs/>
          <w:color w:val="auto"/>
          <w:kern w:val="2"/>
          <w:sz w:val="32"/>
          <w:szCs w:val="32"/>
          <w:highlight w:val="none"/>
          <w:lang w:val="en-US" w:eastAsia="zh-CN" w:bidi="ar-SA"/>
        </w:rPr>
      </w:pPr>
    </w:p>
    <w:p w14:paraId="29D806AA">
      <w:pPr>
        <w:numPr>
          <w:ilvl w:val="0"/>
          <w:numId w:val="0"/>
        </w:numPr>
        <w:spacing w:line="360" w:lineRule="auto"/>
        <w:jc w:val="center"/>
        <w:outlineLvl w:val="0"/>
        <w:rPr>
          <w:rFonts w:ascii="宋体" w:hAnsi="宋体" w:cs="宋体"/>
          <w:b/>
          <w:bCs/>
          <w:color w:val="auto"/>
          <w:sz w:val="32"/>
          <w:szCs w:val="32"/>
          <w:highlight w:val="none"/>
        </w:rPr>
      </w:pPr>
      <w:bookmarkStart w:id="83" w:name="_Toc12913"/>
      <w:r>
        <w:rPr>
          <w:rFonts w:hint="eastAsia" w:ascii="宋体" w:hAnsi="宋体" w:eastAsia="宋体" w:cs="宋体"/>
          <w:b/>
          <w:bCs/>
          <w:color w:val="auto"/>
          <w:kern w:val="2"/>
          <w:sz w:val="32"/>
          <w:szCs w:val="32"/>
          <w:highlight w:val="none"/>
          <w:lang w:val="en-US" w:eastAsia="zh-CN" w:bidi="ar-SA"/>
        </w:rPr>
        <w:t>第三章</w:t>
      </w:r>
      <w:r>
        <w:rPr>
          <w:rFonts w:hint="eastAsia" w:ascii="宋体" w:hAnsi="宋体" w:cs="宋体"/>
          <w:b/>
          <w:bCs/>
          <w:color w:val="auto"/>
          <w:kern w:val="2"/>
          <w:sz w:val="32"/>
          <w:szCs w:val="32"/>
          <w:highlight w:val="none"/>
          <w:lang w:val="en-US" w:eastAsia="zh-CN" w:bidi="ar-SA"/>
        </w:rPr>
        <w:t xml:space="preserve">  </w:t>
      </w:r>
      <w:r>
        <w:rPr>
          <w:rFonts w:hint="eastAsia" w:ascii="宋体" w:hAnsi="宋体" w:cs="宋体"/>
          <w:b/>
          <w:bCs/>
          <w:color w:val="auto"/>
          <w:sz w:val="32"/>
          <w:szCs w:val="32"/>
          <w:highlight w:val="none"/>
        </w:rPr>
        <w:t>招标内容及要求</w:t>
      </w:r>
      <w:bookmarkEnd w:id="83"/>
      <w:bookmarkStart w:id="84" w:name="_Toc469590167"/>
    </w:p>
    <w:p w14:paraId="5CDBB182">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textAlignment w:val="auto"/>
        <w:rPr>
          <w:b/>
          <w:bCs/>
          <w:color w:val="auto"/>
          <w:highlight w:val="none"/>
        </w:rPr>
      </w:pPr>
      <w:r>
        <w:rPr>
          <w:rFonts w:hint="eastAsia" w:ascii="宋体" w:hAnsi="宋体" w:eastAsia="宋体" w:cs="宋体"/>
          <w:b/>
          <w:bCs/>
          <w:color w:val="auto"/>
          <w:kern w:val="0"/>
          <w:sz w:val="24"/>
          <w:szCs w:val="24"/>
          <w:highlight w:val="none"/>
          <w:lang w:val="en-US" w:eastAsia="zh-CN" w:bidi="ar-SA"/>
        </w:rPr>
        <w:t>一、</w:t>
      </w:r>
      <w:r>
        <w:rPr>
          <w:rFonts w:hint="eastAsia"/>
          <w:b/>
          <w:bCs/>
          <w:color w:val="auto"/>
          <w:highlight w:val="none"/>
        </w:rPr>
        <w:t>项目概况</w:t>
      </w:r>
    </w:p>
    <w:p w14:paraId="409E25ED">
      <w:pPr>
        <w:pStyle w:val="1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本项目为</w:t>
      </w:r>
      <w:r>
        <w:rPr>
          <w:rFonts w:hint="eastAsia" w:ascii="宋体" w:hAnsi="宋体" w:eastAsia="宋体" w:cs="宋体"/>
          <w:bCs/>
          <w:color w:val="auto"/>
          <w:sz w:val="24"/>
          <w:szCs w:val="24"/>
          <w:lang w:eastAsia="zh-CN"/>
        </w:rPr>
        <w:t>福建宏达机械有限公司食堂服务外包项目</w:t>
      </w:r>
      <w:r>
        <w:rPr>
          <w:rFonts w:hint="eastAsia" w:ascii="宋体" w:hAnsi="宋体" w:eastAsia="宋体" w:cs="宋体"/>
          <w:bCs/>
          <w:color w:val="auto"/>
          <w:sz w:val="24"/>
          <w:szCs w:val="24"/>
        </w:rPr>
        <w:t>。</w:t>
      </w:r>
    </w:p>
    <w:p w14:paraId="3509BE7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2、投标人的报价应是包含</w:t>
      </w:r>
      <w:r>
        <w:rPr>
          <w:rFonts w:hint="eastAsia" w:ascii="宋体" w:hAnsi="宋体" w:eastAsia="宋体" w:cs="宋体"/>
          <w:color w:val="auto"/>
          <w:sz w:val="24"/>
          <w:szCs w:val="24"/>
          <w:highlight w:val="none"/>
        </w:rPr>
        <w:t>人员工资、福利、税金、管理费、利润、通讯设备、服装、安全装备等</w:t>
      </w:r>
      <w:r>
        <w:rPr>
          <w:rFonts w:hint="eastAsia" w:ascii="宋体" w:hAnsi="宋体" w:eastAsia="宋体" w:cs="宋体"/>
          <w:color w:val="auto"/>
          <w:sz w:val="24"/>
          <w:szCs w:val="24"/>
          <w:highlight w:val="none"/>
          <w:lang w:val="en-US" w:eastAsia="zh-CN"/>
        </w:rPr>
        <w:t>一切与项目相关的费用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eastAsia="zh-CN"/>
        </w:rPr>
        <w:t>人不再承担任何费用。</w:t>
      </w:r>
      <w:r>
        <w:rPr>
          <w:rFonts w:hint="eastAsia" w:ascii="宋体" w:hAnsi="宋体" w:eastAsia="宋体" w:cs="宋体"/>
          <w:color w:val="auto"/>
          <w:sz w:val="24"/>
          <w:szCs w:val="24"/>
          <w:highlight w:val="none"/>
          <w:lang w:val="en-US" w:eastAsia="zh-CN"/>
        </w:rPr>
        <w:t>投标人报价时</w:t>
      </w:r>
      <w:r>
        <w:rPr>
          <w:rFonts w:hint="eastAsia" w:ascii="宋体" w:hAnsi="宋体" w:eastAsia="宋体" w:cs="宋体"/>
          <w:color w:val="auto"/>
          <w:sz w:val="24"/>
          <w:szCs w:val="24"/>
          <w:highlight w:val="none"/>
          <w:lang w:eastAsia="zh-CN"/>
        </w:rPr>
        <w:t>还要考虑到合同中可能出现的索赔和变更，</w:t>
      </w:r>
      <w:r>
        <w:rPr>
          <w:rFonts w:hint="eastAsia" w:ascii="宋体" w:hAnsi="宋体" w:eastAsia="宋体" w:cs="宋体"/>
          <w:color w:val="auto"/>
          <w:sz w:val="24"/>
          <w:szCs w:val="24"/>
          <w:highlight w:val="none"/>
          <w:lang w:val="en-US" w:eastAsia="zh-CN"/>
        </w:rPr>
        <w:t>投标人的</w:t>
      </w:r>
      <w:r>
        <w:rPr>
          <w:rFonts w:hint="eastAsia" w:ascii="宋体" w:hAnsi="宋体" w:eastAsia="宋体" w:cs="宋体"/>
          <w:color w:val="auto"/>
          <w:sz w:val="24"/>
          <w:szCs w:val="24"/>
          <w:highlight w:val="none"/>
          <w:lang w:eastAsia="zh-CN"/>
        </w:rPr>
        <w:t>报价在合同期内不因市场或其他因素变化而调整。</w:t>
      </w:r>
    </w:p>
    <w:p w14:paraId="46DD1350">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4"/>
          <w:szCs w:val="24"/>
          <w:highlight w:val="none"/>
        </w:rPr>
      </w:pPr>
      <w:r>
        <w:rPr>
          <w:rFonts w:hint="eastAsia"/>
          <w:b/>
          <w:bCs/>
          <w:color w:val="auto"/>
          <w:highlight w:val="none"/>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本章“二、技术和服务要求”项下标识“★”</w:t>
      </w:r>
      <w:r>
        <w:rPr>
          <w:rFonts w:hint="eastAsia" w:ascii="宋体" w:hAnsi="宋体" w:eastAsia="宋体" w:cs="宋体"/>
          <w:b w:val="0"/>
          <w:bCs w:val="0"/>
          <w:color w:val="auto"/>
          <w:sz w:val="24"/>
          <w:szCs w:val="24"/>
          <w:highlight w:val="none"/>
          <w:lang w:val="en-US" w:eastAsia="zh-CN"/>
        </w:rPr>
        <w:t>内容</w:t>
      </w:r>
      <w:r>
        <w:rPr>
          <w:rFonts w:hint="eastAsia" w:ascii="宋体" w:hAnsi="宋体" w:eastAsia="宋体" w:cs="宋体"/>
          <w:b w:val="0"/>
          <w:bCs w:val="0"/>
          <w:color w:val="auto"/>
          <w:sz w:val="24"/>
          <w:szCs w:val="24"/>
          <w:highlight w:val="none"/>
        </w:rPr>
        <w:t>及“三、商务</w:t>
      </w:r>
      <w:r>
        <w:rPr>
          <w:rFonts w:hint="eastAsia" w:ascii="宋体" w:hAnsi="宋体" w:eastAsia="宋体" w:cs="宋体"/>
          <w:b w:val="0"/>
          <w:bCs w:val="0"/>
          <w:color w:val="auto"/>
          <w:sz w:val="24"/>
          <w:szCs w:val="24"/>
          <w:highlight w:val="none"/>
          <w:lang w:val="en-US" w:eastAsia="zh-CN"/>
        </w:rPr>
        <w:t>条件</w:t>
      </w:r>
      <w:r>
        <w:rPr>
          <w:rFonts w:hint="eastAsia" w:ascii="宋体" w:hAnsi="宋体" w:eastAsia="宋体" w:cs="宋体"/>
          <w:b w:val="0"/>
          <w:bCs w:val="0"/>
          <w:color w:val="auto"/>
          <w:sz w:val="24"/>
          <w:szCs w:val="24"/>
          <w:highlight w:val="none"/>
        </w:rPr>
        <w:t>”项下内容，均为不允许负偏离的实质性要求，</w:t>
      </w:r>
      <w:r>
        <w:rPr>
          <w:rFonts w:hint="eastAsia" w:ascii="宋体" w:hAnsi="宋体" w:eastAsia="宋体" w:cs="宋体"/>
          <w:b w:val="0"/>
          <w:bCs w:val="0"/>
          <w:color w:val="auto"/>
          <w:sz w:val="24"/>
          <w:szCs w:val="24"/>
          <w:highlight w:val="none"/>
          <w:lang w:eastAsia="zh-CN"/>
        </w:rPr>
        <w:t>有负偏离或未响应</w:t>
      </w:r>
      <w:r>
        <w:rPr>
          <w:rFonts w:hint="eastAsia" w:ascii="宋体" w:hAnsi="宋体" w:eastAsia="宋体" w:cs="宋体"/>
          <w:b w:val="0"/>
          <w:bCs w:val="0"/>
          <w:color w:val="auto"/>
          <w:sz w:val="24"/>
          <w:szCs w:val="24"/>
          <w:highlight w:val="none"/>
        </w:rPr>
        <w:t>的视为无效投标。</w:t>
      </w:r>
    </w:p>
    <w:p w14:paraId="37D6E265">
      <w:pPr>
        <w:pStyle w:val="17"/>
        <w:numPr>
          <w:ilvl w:val="0"/>
          <w:numId w:val="0"/>
        </w:numPr>
        <w:spacing w:before="0" w:beforeAutospacing="0" w:after="0" w:afterAutospacing="0" w:line="360" w:lineRule="auto"/>
        <w:ind w:left="0" w:leftChars="0" w:firstLine="0" w:firstLineChars="0"/>
        <w:rPr>
          <w:rFonts w:hint="eastAsia"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SA"/>
        </w:rPr>
        <w:t>二、</w:t>
      </w:r>
      <w:r>
        <w:rPr>
          <w:rFonts w:hint="eastAsia" w:ascii="宋体" w:hAnsi="宋体" w:eastAsia="宋体" w:cs="宋体"/>
          <w:b/>
          <w:bCs/>
          <w:color w:val="auto"/>
          <w:sz w:val="24"/>
          <w:szCs w:val="24"/>
          <w:highlight w:val="none"/>
        </w:rPr>
        <w:t>技术和服务要求</w:t>
      </w:r>
      <w:bookmarkEnd w:id="84"/>
      <w:bookmarkStart w:id="85" w:name="_Toc462311495"/>
      <w:bookmarkStart w:id="86" w:name="_Toc409538572"/>
      <w:bookmarkStart w:id="87" w:name="_Toc20417"/>
      <w:bookmarkStart w:id="88" w:name="_Toc32677"/>
      <w:bookmarkStart w:id="89" w:name="_Toc339444976"/>
      <w:bookmarkStart w:id="90" w:name="_Toc320803476"/>
      <w:bookmarkStart w:id="91" w:name="_Toc330451569"/>
    </w:p>
    <w:p w14:paraId="3F572CEB">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b/>
          <w:bCs/>
          <w:i w:val="0"/>
          <w:iCs w:val="0"/>
          <w:caps w:val="0"/>
          <w:color w:val="auto"/>
          <w:spacing w:val="0"/>
          <w:sz w:val="24"/>
          <w:szCs w:val="24"/>
          <w:highlight w:val="none"/>
          <w:u w:val="none"/>
          <w:shd w:val="clear" w:color="auto" w:fill="FFFFFF"/>
          <w:lang w:val="en-US" w:eastAsia="zh-CN"/>
        </w:rPr>
        <w:t>★</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一</w:t>
      </w:r>
      <w:r>
        <w:rPr>
          <w:rFonts w:hint="eastAsia" w:ascii="宋体" w:hAnsi="宋体" w:eastAsia="宋体" w:cs="宋体"/>
          <w:color w:val="auto"/>
          <w:kern w:val="0"/>
          <w:sz w:val="24"/>
          <w:szCs w:val="24"/>
          <w:highlight w:val="none"/>
          <w:lang w:eastAsia="zh-CN"/>
        </w:rPr>
        <w:t>）要求中标人拟派专业的团队人员</w:t>
      </w:r>
      <w:r>
        <w:rPr>
          <w:rFonts w:hint="eastAsia" w:ascii="宋体" w:hAnsi="宋体" w:eastAsia="宋体" w:cs="宋体"/>
          <w:color w:val="auto"/>
          <w:kern w:val="0"/>
          <w:sz w:val="24"/>
          <w:szCs w:val="24"/>
          <w:highlight w:val="none"/>
        </w:rPr>
        <w:t>为</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提供全年</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伙食保障，</w:t>
      </w:r>
      <w:r>
        <w:rPr>
          <w:rFonts w:hint="eastAsia" w:ascii="宋体" w:hAnsi="宋体" w:eastAsia="宋体" w:cs="宋体"/>
          <w:color w:val="auto"/>
          <w:sz w:val="24"/>
          <w:szCs w:val="24"/>
          <w:highlight w:val="none"/>
          <w:lang w:eastAsia="zh-CN"/>
        </w:rPr>
        <w:t>做到</w:t>
      </w:r>
      <w:r>
        <w:rPr>
          <w:rFonts w:hint="eastAsia" w:ascii="宋体" w:hAnsi="宋体" w:eastAsia="宋体" w:cs="宋体"/>
          <w:color w:val="auto"/>
          <w:sz w:val="24"/>
          <w:szCs w:val="24"/>
          <w:highlight w:val="none"/>
        </w:rPr>
        <w:t>全年无休</w:t>
      </w:r>
      <w:r>
        <w:rPr>
          <w:rFonts w:hint="eastAsia" w:ascii="宋体" w:hAnsi="宋体" w:eastAsia="宋体" w:cs="宋体"/>
          <w:color w:val="auto"/>
          <w:sz w:val="24"/>
          <w:szCs w:val="24"/>
          <w:highlight w:val="none"/>
          <w:lang w:eastAsia="zh-CN"/>
        </w:rPr>
        <w:t>，随叫随到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招标人仅在合同期间</w:t>
      </w:r>
      <w:r>
        <w:rPr>
          <w:rFonts w:hint="eastAsia" w:ascii="宋体" w:hAnsi="宋体" w:eastAsia="宋体" w:cs="宋体"/>
          <w:color w:val="auto"/>
          <w:sz w:val="24"/>
          <w:szCs w:val="24"/>
          <w:highlight w:val="none"/>
        </w:rPr>
        <w:t>提供免费</w:t>
      </w:r>
      <w:r>
        <w:rPr>
          <w:rFonts w:hint="eastAsia" w:ascii="宋体" w:hAnsi="宋体" w:eastAsia="宋体" w:cs="宋体"/>
          <w:color w:val="auto"/>
          <w:sz w:val="24"/>
          <w:szCs w:val="24"/>
          <w:highlight w:val="none"/>
          <w:lang w:eastAsia="zh-CN"/>
        </w:rPr>
        <w:t>的住</w:t>
      </w:r>
      <w:r>
        <w:rPr>
          <w:rFonts w:hint="eastAsia" w:ascii="宋体" w:hAnsi="宋体" w:eastAsia="宋体" w:cs="宋体"/>
          <w:color w:val="auto"/>
          <w:sz w:val="24"/>
          <w:szCs w:val="24"/>
          <w:highlight w:val="none"/>
        </w:rPr>
        <w:t>宿</w:t>
      </w:r>
      <w:r>
        <w:rPr>
          <w:rFonts w:hint="eastAsia" w:ascii="宋体" w:hAnsi="宋体" w:eastAsia="宋体" w:cs="宋体"/>
          <w:color w:val="auto"/>
          <w:sz w:val="24"/>
          <w:szCs w:val="24"/>
          <w:highlight w:val="none"/>
          <w:lang w:eastAsia="zh-CN"/>
        </w:rPr>
        <w:t>（合同期间招标人仅提供</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间普通</w:t>
      </w:r>
      <w:r>
        <w:rPr>
          <w:rFonts w:hint="eastAsia" w:ascii="宋体" w:hAnsi="宋体" w:eastAsia="宋体" w:cs="宋体"/>
          <w:color w:val="auto"/>
          <w:sz w:val="24"/>
          <w:szCs w:val="24"/>
          <w:highlight w:val="none"/>
          <w:lang w:eastAsia="zh-CN"/>
        </w:rPr>
        <w:t>宿舍，若住宿无法满足的，中标人自行解决）；关于拟派人员的伙食问题，中标人可自行解决或中标人选择缴纳伙食费用给招标人。伙食费中标人须在合同签订之前缴纳，全年缴纳伙食费:</w:t>
      </w:r>
      <w:r>
        <w:rPr>
          <w:rFonts w:hint="eastAsia" w:ascii="宋体" w:hAnsi="宋体" w:eastAsia="宋体" w:cs="宋体"/>
          <w:color w:val="auto"/>
          <w:sz w:val="24"/>
          <w:szCs w:val="24"/>
          <w:highlight w:val="none"/>
        </w:rPr>
        <w:t>按每人每</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元计算，</w:t>
      </w:r>
      <w:r>
        <w:rPr>
          <w:rFonts w:hint="eastAsia" w:ascii="宋体" w:hAnsi="宋体" w:eastAsia="宋体" w:cs="宋体"/>
          <w:color w:val="auto"/>
          <w:sz w:val="24"/>
          <w:szCs w:val="24"/>
          <w:highlight w:val="none"/>
          <w:lang w:eastAsia="zh-CN"/>
        </w:rPr>
        <w:t>共计</w:t>
      </w:r>
      <w:r>
        <w:rPr>
          <w:rFonts w:hint="eastAsia" w:ascii="宋体" w:hAnsi="宋体" w:eastAsia="宋体" w:cs="宋体"/>
          <w:color w:val="auto"/>
          <w:sz w:val="24"/>
          <w:szCs w:val="24"/>
          <w:highlight w:val="none"/>
          <w:lang w:val="en-US" w:eastAsia="zh-CN"/>
        </w:rPr>
        <w:t>85000</w:t>
      </w:r>
      <w:r>
        <w:rPr>
          <w:rFonts w:hint="eastAsia" w:ascii="宋体" w:hAnsi="宋体" w:eastAsia="宋体" w:cs="宋体"/>
          <w:color w:val="auto"/>
          <w:sz w:val="24"/>
          <w:szCs w:val="24"/>
          <w:highlight w:val="none"/>
        </w:rPr>
        <w:t>元/年</w:t>
      </w:r>
      <w:r>
        <w:rPr>
          <w:rFonts w:hint="eastAsia" w:ascii="宋体" w:hAnsi="宋体" w:eastAsia="宋体" w:cs="宋体"/>
          <w:color w:val="auto"/>
          <w:sz w:val="24"/>
          <w:szCs w:val="24"/>
          <w:highlight w:val="none"/>
          <w:lang w:eastAsia="zh-CN"/>
        </w:rPr>
        <w:t>，一年一交。</w:t>
      </w:r>
    </w:p>
    <w:p w14:paraId="153E5B69">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要求：</w:t>
      </w:r>
    </w:p>
    <w:p w14:paraId="78D8E39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t>★</w:t>
      </w: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负责</w:t>
      </w:r>
      <w:r>
        <w:rPr>
          <w:rFonts w:hint="eastAsia" w:ascii="宋体" w:hAnsi="宋体" w:eastAsia="宋体" w:cs="宋体"/>
          <w:b w:val="0"/>
          <w:bCs w:val="0"/>
          <w:color w:val="auto"/>
          <w:kern w:val="0"/>
          <w:sz w:val="24"/>
          <w:szCs w:val="24"/>
          <w:highlight w:val="none"/>
          <w:lang w:val="en-US" w:eastAsia="zh-CN" w:bidi="ar-SA"/>
        </w:rPr>
        <w:t>早餐约250人，午餐约400人，晚餐约200人的供餐、打菜、值班人员送餐打包装卸等餐饮服务工作。注：考虑到用餐人员的数量存在不定性因素，故在满足供餐人员基础数值的情况下再保障20%浮动人员的供餐量。</w:t>
      </w:r>
    </w:p>
    <w:p w14:paraId="49A698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（评审项1）</w:t>
      </w:r>
      <w:r>
        <w:rPr>
          <w:rFonts w:hint="eastAsia" w:ascii="宋体" w:hAnsi="宋体" w:eastAsia="宋体" w:cs="宋体"/>
          <w:color w:val="auto"/>
          <w:kern w:val="0"/>
          <w:sz w:val="24"/>
          <w:szCs w:val="24"/>
          <w:highlight w:val="none"/>
          <w:lang w:val="en-US" w:eastAsia="zh-CN" w:bidi="ar-SA"/>
        </w:rPr>
        <w:t>2、协助招标人</w:t>
      </w:r>
      <w:r>
        <w:rPr>
          <w:rFonts w:hint="eastAsia" w:ascii="宋体" w:hAnsi="宋体" w:eastAsia="宋体" w:cs="宋体"/>
          <w:color w:val="auto"/>
          <w:kern w:val="2"/>
          <w:sz w:val="24"/>
          <w:szCs w:val="24"/>
          <w:highlight w:val="none"/>
          <w:lang w:val="en-US" w:eastAsia="zh-CN" w:bidi="ar-SA"/>
        </w:rPr>
        <w:t>主副食品采购计划、成本核算、食谱安排、饭菜制作、食堂相关设备维护保养和食堂一、二楼卫生清理工作。</w:t>
      </w:r>
    </w:p>
    <w:p w14:paraId="266578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（评审项2）</w:t>
      </w:r>
      <w:r>
        <w:rPr>
          <w:rFonts w:hint="eastAsia" w:ascii="宋体" w:hAnsi="宋体" w:eastAsia="宋体" w:cs="宋体"/>
          <w:color w:val="auto"/>
          <w:kern w:val="0"/>
          <w:sz w:val="24"/>
          <w:szCs w:val="24"/>
          <w:highlight w:val="none"/>
          <w:lang w:val="en-US" w:eastAsia="zh-CN" w:bidi="ar-SA"/>
        </w:rPr>
        <w:t>3、负责节日加餐和临时接待工作。</w:t>
      </w:r>
    </w:p>
    <w:p w14:paraId="01EB3D8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（评审项3）</w:t>
      </w:r>
      <w:r>
        <w:rPr>
          <w:rFonts w:hint="eastAsia" w:ascii="宋体" w:hAnsi="宋体" w:eastAsia="宋体" w:cs="宋体"/>
          <w:color w:val="auto"/>
          <w:kern w:val="0"/>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负责公司职工就餐后餐具的清洗和消毒工作。</w:t>
      </w:r>
    </w:p>
    <w:p w14:paraId="45E9E1A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none"/>
          <w:shd w:val="clear" w:color="auto" w:fill="FFFFFF"/>
          <w:lang w:val="en-US" w:eastAsia="zh-CN" w:bidi="ar-SA"/>
        </w:rPr>
        <w:t>★</w:t>
      </w:r>
      <w:r>
        <w:rPr>
          <w:rFonts w:hint="eastAsia" w:ascii="宋体" w:hAnsi="宋体" w:eastAsia="宋体" w:cs="宋体"/>
          <w:color w:val="auto"/>
          <w:kern w:val="0"/>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负责留样和待检测防食物中毒工作。</w:t>
      </w:r>
    </w:p>
    <w:p w14:paraId="77BA9E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（评审项4）</w:t>
      </w:r>
      <w:r>
        <w:rPr>
          <w:rFonts w:hint="eastAsia" w:ascii="宋体" w:hAnsi="宋体" w:eastAsia="宋体" w:cs="宋体"/>
          <w:color w:val="auto"/>
          <w:kern w:val="0"/>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负责食堂管理人员交待和食堂保障任务相关的其它工作。</w:t>
      </w:r>
    </w:p>
    <w:p w14:paraId="0062272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三</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人员配备要求：</w:t>
      </w:r>
      <w:r>
        <w:rPr>
          <w:rFonts w:hint="eastAsia" w:ascii="宋体" w:hAnsi="宋体" w:eastAsia="宋体" w:cs="宋体"/>
          <w:color w:val="auto"/>
          <w:kern w:val="0"/>
          <w:sz w:val="24"/>
          <w:szCs w:val="24"/>
          <w:highlight w:val="none"/>
        </w:rPr>
        <w:t xml:space="preserve"> </w:t>
      </w:r>
    </w:p>
    <w:p w14:paraId="1019482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i w:val="0"/>
          <w:iCs w:val="0"/>
          <w:caps w:val="0"/>
          <w:color w:val="auto"/>
          <w:spacing w:val="0"/>
          <w:kern w:val="2"/>
          <w:sz w:val="24"/>
          <w:szCs w:val="24"/>
          <w:highlight w:val="none"/>
          <w:u w:val="none"/>
          <w:shd w:val="clear" w:color="auto" w:fill="FFFFFF"/>
          <w:lang w:val="en-US" w:eastAsia="zh-CN" w:bidi="ar-SA"/>
        </w:rPr>
        <w:t>★</w:t>
      </w:r>
      <w:r>
        <w:rPr>
          <w:rFonts w:hint="eastAsia" w:ascii="宋体" w:hAnsi="宋体" w:eastAsia="宋体" w:cs="宋体"/>
          <w:b w:val="0"/>
          <w:bCs w:val="0"/>
          <w:color w:val="auto"/>
          <w:kern w:val="2"/>
          <w:sz w:val="24"/>
          <w:szCs w:val="24"/>
          <w:highlight w:val="none"/>
          <w:lang w:val="en-US" w:eastAsia="zh-CN" w:bidi="ar-SA"/>
        </w:rPr>
        <w:t>1、配备工种包括项目经理（1人）、厨师长（主厨）（1人）、厨师（副厨）（2人）、面点师（2人）、丁板（2人）、收银员（1人）、杂工及服务员（8人），所有人员均需持《健康证》上岗。</w:t>
      </w:r>
    </w:p>
    <w:p w14:paraId="3C9BB17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★2、配备厨师长（主厨）1人具有高级及以上职业技能等级证，且具有≥5 年厨师长（主厨）工作经验{须</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提供投标人与其签订的劳务合同或</w:t>
      </w: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附用人单位</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出具的</w:t>
      </w: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证明材料，材料中必须体现厨师长（主厨）岗位</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，若同一年度提供多份年限证明材料的，以年限最长的为准</w:t>
      </w: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}；厨师（副厨）</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2人</w:t>
      </w: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具有中级及以上职业技能等级证、面点师</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2人</w:t>
      </w: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具有职业证书。</w:t>
      </w:r>
      <w:r>
        <w:rPr>
          <w:rFonts w:hint="eastAsia" w:ascii="宋体" w:hAnsi="宋体" w:cs="宋体"/>
          <w:b/>
          <w:bCs/>
          <w:i w:val="0"/>
          <w:iCs w:val="0"/>
          <w:caps w:val="0"/>
          <w:color w:val="auto"/>
          <w:spacing w:val="0"/>
          <w:kern w:val="2"/>
          <w:sz w:val="24"/>
          <w:szCs w:val="24"/>
          <w:highlight w:val="none"/>
          <w:u w:val="single"/>
          <w:shd w:val="clear" w:color="auto" w:fill="FFFFFF"/>
          <w:lang w:val="en-US" w:eastAsia="zh-CN" w:bidi="ar-SA"/>
        </w:rPr>
        <w:t>投标人须在投标文件（技术商务部分）中提供相关证书进行佐证。</w:t>
      </w:r>
    </w:p>
    <w:p w14:paraId="582708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none"/>
          <w:shd w:val="clear" w:color="auto" w:fill="FFFFFF"/>
          <w:lang w:val="en-US" w:eastAsia="zh-CN" w:bidi="ar-SA"/>
        </w:rPr>
        <w:t>（评审项5）</w:t>
      </w:r>
      <w:r>
        <w:rPr>
          <w:rFonts w:hint="eastAsia" w:ascii="宋体" w:hAnsi="宋体" w:eastAsia="宋体" w:cs="宋体"/>
          <w:color w:val="auto"/>
          <w:kern w:val="2"/>
          <w:sz w:val="24"/>
          <w:szCs w:val="24"/>
          <w:highlight w:val="none"/>
          <w:u w:val="none"/>
          <w:lang w:val="en-US" w:eastAsia="zh-CN" w:bidi="ar-SA"/>
        </w:rPr>
        <w:t>3</w:t>
      </w:r>
      <w:r>
        <w:rPr>
          <w:rFonts w:hint="eastAsia" w:ascii="宋体" w:hAnsi="宋体" w:eastAsia="宋体" w:cs="宋体"/>
          <w:color w:val="auto"/>
          <w:kern w:val="2"/>
          <w:sz w:val="24"/>
          <w:szCs w:val="24"/>
          <w:highlight w:val="none"/>
          <w:lang w:val="en-US" w:eastAsia="zh-CN" w:bidi="ar-SA"/>
        </w:rPr>
        <w:t>、项目经理：要有相应岗位的文化知识水平，对本项目每个岗位的工作要熟悉且具有一定的从业经验，负责团队全面管理、纪律整顿等，统筹安排服务团队人员工作，协调沟通食堂相关事宜，确保服务团队工作有序运转，协同配合。为本项目配备的项目经理在岗率达到90%及以上</w:t>
      </w:r>
      <w:r>
        <w:rPr>
          <w:rFonts w:hint="eastAsia" w:ascii="宋体" w:hAnsi="宋体" w:cs="宋体"/>
          <w:color w:val="auto"/>
          <w:kern w:val="2"/>
          <w:sz w:val="24"/>
          <w:szCs w:val="24"/>
          <w:highlight w:val="none"/>
          <w:lang w:val="en-US" w:eastAsia="zh-CN" w:bidi="ar-SA"/>
        </w:rPr>
        <w:t>。</w:t>
      </w:r>
    </w:p>
    <w:p w14:paraId="7F9159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（评审项6）</w:t>
      </w:r>
      <w:r>
        <w:rPr>
          <w:rFonts w:hint="eastAsia" w:ascii="宋体" w:hAnsi="宋体" w:eastAsia="宋体" w:cs="宋体"/>
          <w:color w:val="auto"/>
          <w:kern w:val="2"/>
          <w:sz w:val="24"/>
          <w:szCs w:val="24"/>
          <w:highlight w:val="none"/>
          <w:lang w:val="en-US" w:eastAsia="zh-CN" w:bidi="ar-SA"/>
        </w:rPr>
        <w:t>4、厨师长（主厨）：协助招标人对厨师及服务人员管理、成本核算、订菜谱、开菜单、客餐制作，定期推出新菜品。满足午餐10个菜（4个荤菜、2个半荤、4个素菜）；晚餐6个菜（2个荤菜、1个半荤、3个素菜），基本保证两周内菜品不重复。每日食材验收及制作菜品验菜，把控食材、菜品的新鲜度等工作。</w:t>
      </w:r>
    </w:p>
    <w:p w14:paraId="2C2460A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（评审项7）</w:t>
      </w:r>
      <w:r>
        <w:rPr>
          <w:rFonts w:hint="eastAsia" w:ascii="宋体" w:hAnsi="宋体" w:eastAsia="宋体" w:cs="宋体"/>
          <w:color w:val="auto"/>
          <w:kern w:val="2"/>
          <w:sz w:val="24"/>
          <w:szCs w:val="24"/>
          <w:highlight w:val="none"/>
          <w:lang w:val="en-US" w:eastAsia="zh-CN" w:bidi="ar-SA"/>
        </w:rPr>
        <w:t>5、厨师（副厨、捞化）：主要负责菜品制作、小菜腌制、烹调等工作。</w:t>
      </w:r>
    </w:p>
    <w:p w14:paraId="0734FE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（评审项8）</w:t>
      </w:r>
      <w:r>
        <w:rPr>
          <w:rFonts w:hint="eastAsia" w:ascii="宋体" w:hAnsi="宋体" w:eastAsia="宋体" w:cs="宋体"/>
          <w:color w:val="auto"/>
          <w:kern w:val="2"/>
          <w:sz w:val="24"/>
          <w:szCs w:val="24"/>
          <w:highlight w:val="none"/>
          <w:lang w:val="en-US" w:eastAsia="zh-CN" w:bidi="ar-SA"/>
        </w:rPr>
        <w:t>6、面点师：其中有一名面点师可做西式糕点，中式面点师能制作馒头、包子、花卷、油条、米糕等10种以上面食，能够满足公司职工日常面食要求。西式面点师能制作面包、蛋糕等10种以上糕点，能够满足公司职工日常糕点要求。每天中、西面点各不少于两种，且不重样。</w:t>
      </w:r>
    </w:p>
    <w:p w14:paraId="6D625D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（评审项9）</w:t>
      </w:r>
      <w:r>
        <w:rPr>
          <w:rFonts w:hint="eastAsia" w:ascii="宋体" w:hAnsi="宋体" w:eastAsia="宋体" w:cs="宋体"/>
          <w:color w:val="auto"/>
          <w:kern w:val="2"/>
          <w:sz w:val="24"/>
          <w:szCs w:val="24"/>
          <w:highlight w:val="none"/>
          <w:lang w:val="en-US" w:eastAsia="zh-CN" w:bidi="ar-SA"/>
        </w:rPr>
        <w:t>7、丁板：主要负责切菜、配菜工作。</w:t>
      </w:r>
    </w:p>
    <w:p w14:paraId="001F9B2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（评审项10）</w:t>
      </w:r>
      <w:r>
        <w:rPr>
          <w:rFonts w:hint="eastAsia" w:ascii="宋体" w:hAnsi="宋体" w:eastAsia="宋体" w:cs="宋体"/>
          <w:color w:val="auto"/>
          <w:kern w:val="2"/>
          <w:sz w:val="24"/>
          <w:szCs w:val="24"/>
          <w:highlight w:val="none"/>
          <w:lang w:val="en-US" w:eastAsia="zh-CN" w:bidi="ar-SA"/>
        </w:rPr>
        <w:t>8、杂工、服务员：主要负责洗菜、做饭、分菜、收费、洗碗和做卫生等工作。注：其中杂工、服务员中不少于3人的年龄在45周岁及以下，洗菜大姐及服务人员不得超过55周岁。</w:t>
      </w:r>
    </w:p>
    <w:p w14:paraId="6B8378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9、收银员：女性，年龄在35周岁以下，身高160cm以上，形象气质佳。服从配合厨师长的相关通知接待及收银服务。</w:t>
      </w:r>
    </w:p>
    <w:p w14:paraId="11507D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（四）工作要求：</w:t>
      </w:r>
    </w:p>
    <w:p w14:paraId="7FC83B5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1、中标人应了解招标人食堂的管理要求，中标人所派管理人员、主厨等主要岗位人员必须固定，如有调换必须报备，且更换人员的能力不低于原先的人员，否则招标人有权拒绝。在保障期间，项目经理必须驻点管理。遇特殊情况(如接待、会议等)需增加服务人员时，中标人应无偿提供保障。</w:t>
      </w:r>
    </w:p>
    <w:p w14:paraId="34F4426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lang w:val="en-US" w:eastAsia="zh-CN" w:bidi="ar-SA"/>
        </w:rPr>
        <w:t>2、供应保障能力：根据招标人下一步业务需求，就餐时间根据干职需求现场制作面食等，满足干职不同订餐、订购需求、现场炒菜、捞化等各类菜品及面点制作。并根据招标人的建议不间断的更换菜品制作。中标人须按招标人提供的食谱供应。所供膳食成品如油条、油饼、包子、馒头、面包糕点等必须由中标人自行生产。</w:t>
      </w:r>
    </w:p>
    <w:p w14:paraId="759DE7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482"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aps w:val="0"/>
          <w:color w:val="auto"/>
          <w:spacing w:val="0"/>
          <w:kern w:val="2"/>
          <w:sz w:val="24"/>
          <w:szCs w:val="24"/>
          <w:highlight w:val="none"/>
          <w:u w:val="single"/>
          <w:shd w:val="clear" w:color="auto" w:fill="FFFFFF"/>
          <w:lang w:val="en-US" w:eastAsia="zh-CN" w:bidi="ar-SA"/>
        </w:rPr>
        <w:t>（评审项11）</w:t>
      </w:r>
      <w:r>
        <w:rPr>
          <w:rFonts w:hint="eastAsia" w:ascii="宋体" w:hAnsi="宋体" w:eastAsia="宋体" w:cs="宋体"/>
          <w:color w:val="auto"/>
          <w:kern w:val="2"/>
          <w:sz w:val="24"/>
          <w:szCs w:val="24"/>
          <w:highlight w:val="none"/>
          <w:lang w:val="en-US" w:eastAsia="zh-CN" w:bidi="ar-SA"/>
        </w:rPr>
        <w:t xml:space="preserve">4、食堂需制定菜单，荤、半荤、素菜所占比例为4:2:4。并在规定的开饭时间内保证分批及时供应，每周需提前制定菜单，两周内菜单品种和制作工艺不重复。晚餐应提供多样化的捞化，例汤品种每周至少更换3次。遇临时公务接待，招标人提前一小时通知用餐人数及供餐标准，中标人应无条件完成供餐任务。  </w:t>
      </w:r>
    </w:p>
    <w:p w14:paraId="35D31121">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241" w:firstLineChars="100"/>
        <w:jc w:val="left"/>
        <w:textAlignment w:val="auto"/>
        <w:outlineLvl w:val="1"/>
        <w:rPr>
          <w:rFonts w:hint="eastAsia" w:ascii="宋体" w:hAnsi="宋体" w:eastAsia="宋体" w:cs="宋体"/>
          <w:color w:val="auto"/>
          <w:kern w:val="0"/>
          <w:sz w:val="24"/>
          <w:szCs w:val="24"/>
          <w:highlight w:val="none"/>
          <w:lang w:val="en-US" w:eastAsia="zh-CN" w:bidi="ar-SA"/>
        </w:rPr>
      </w:pPr>
      <w:bookmarkStart w:id="92" w:name="_Toc15473"/>
      <w:bookmarkStart w:id="93" w:name="_Toc4262"/>
      <w:r>
        <w:rPr>
          <w:rFonts w:hint="eastAsia" w:ascii="宋体" w:hAnsi="宋体" w:eastAsia="宋体" w:cs="宋体"/>
          <w:b/>
          <w:bCs/>
          <w:color w:val="auto"/>
          <w:kern w:val="0"/>
          <w:sz w:val="24"/>
          <w:szCs w:val="24"/>
          <w:highlight w:val="none"/>
          <w:lang w:val="en-US" w:eastAsia="zh-CN" w:bidi="ar-SA"/>
        </w:rPr>
        <w:t>（五）设备配置与检查</w:t>
      </w:r>
      <w:bookmarkEnd w:id="92"/>
      <w:bookmarkEnd w:id="93"/>
    </w:p>
    <w:p w14:paraId="05E99ED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361" w:firstLineChars="150"/>
        <w:jc w:val="lef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（评审项12）</w:t>
      </w:r>
      <w:r>
        <w:rPr>
          <w:rFonts w:hint="eastAsia" w:ascii="宋体" w:hAnsi="宋体" w:eastAsia="宋体" w:cs="宋体"/>
          <w:color w:val="auto"/>
          <w:kern w:val="0"/>
          <w:sz w:val="24"/>
          <w:szCs w:val="24"/>
          <w:highlight w:val="none"/>
        </w:rPr>
        <w:t>1、招标人提供现有的场所和设备、设施，详细设备、设施清单在签订合同时清点确认。</w:t>
      </w:r>
      <w:r>
        <w:rPr>
          <w:rFonts w:hint="eastAsia" w:ascii="宋体" w:hAnsi="宋体" w:cs="宋体"/>
          <w:color w:val="auto"/>
          <w:kern w:val="0"/>
          <w:sz w:val="24"/>
          <w:szCs w:val="24"/>
          <w:highlight w:val="none"/>
          <w:lang w:eastAsia="zh-CN"/>
        </w:rPr>
        <w:t>此外还需要</w:t>
      </w:r>
      <w:r>
        <w:rPr>
          <w:rFonts w:hint="eastAsia" w:ascii="宋体" w:hAnsi="宋体" w:eastAsia="宋体" w:cs="宋体"/>
          <w:color w:val="auto"/>
          <w:kern w:val="0"/>
          <w:sz w:val="24"/>
          <w:szCs w:val="24"/>
          <w:highlight w:val="none"/>
        </w:rPr>
        <w:t>承担食堂消防器材配备、服从消防安全检查、确保消防安全达标</w:t>
      </w:r>
      <w:r>
        <w:rPr>
          <w:rFonts w:hint="eastAsia" w:ascii="宋体" w:hAnsi="宋体" w:cs="宋体"/>
          <w:color w:val="auto"/>
          <w:kern w:val="0"/>
          <w:sz w:val="24"/>
          <w:szCs w:val="24"/>
          <w:highlight w:val="none"/>
          <w:lang w:eastAsia="zh-CN"/>
        </w:rPr>
        <w:t>。</w:t>
      </w:r>
    </w:p>
    <w:p w14:paraId="6D0A270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（评审项13）</w:t>
      </w:r>
      <w:r>
        <w:rPr>
          <w:rFonts w:hint="eastAsia" w:ascii="宋体" w:hAnsi="宋体" w:eastAsia="宋体" w:cs="宋体"/>
          <w:color w:val="auto"/>
          <w:kern w:val="0"/>
          <w:sz w:val="24"/>
          <w:szCs w:val="24"/>
          <w:highlight w:val="none"/>
        </w:rPr>
        <w:t>2、中标人需在招标人提供的电容量范围内设计配备用电设备，并将设备清单报招标人核准。在餐厅内要加用电设备必须经招标人有关部门审批，不能随便增加大功率电器。</w:t>
      </w:r>
    </w:p>
    <w:p w14:paraId="5BD35C9C">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（评审项14）</w:t>
      </w:r>
      <w:r>
        <w:rPr>
          <w:rFonts w:hint="eastAsia" w:ascii="宋体" w:hAnsi="宋体" w:eastAsia="宋体" w:cs="宋体"/>
          <w:color w:val="auto"/>
          <w:kern w:val="0"/>
          <w:sz w:val="24"/>
          <w:szCs w:val="24"/>
          <w:highlight w:val="none"/>
        </w:rPr>
        <w:t>3、中标人应定期对食堂设备、厨具用具、冰箱、热水器等进行全面检查，并配合协助招标人管理部门对以上设备进行抽查，对损坏的物品设备</w:t>
      </w:r>
      <w:r>
        <w:rPr>
          <w:rFonts w:hint="eastAsia" w:ascii="宋体" w:hAnsi="宋体" w:eastAsia="宋体" w:cs="宋体"/>
          <w:color w:val="auto"/>
          <w:sz w:val="24"/>
          <w:szCs w:val="24"/>
          <w:highlight w:val="none"/>
        </w:rPr>
        <w:t>及时上报招标人，由招标人安排人员进行维修</w:t>
      </w:r>
      <w:r>
        <w:rPr>
          <w:rFonts w:hint="eastAsia" w:ascii="宋体" w:hAnsi="宋体" w:eastAsia="宋体" w:cs="宋体"/>
          <w:color w:val="auto"/>
          <w:kern w:val="0"/>
          <w:sz w:val="24"/>
          <w:szCs w:val="24"/>
          <w:highlight w:val="none"/>
        </w:rPr>
        <w:t>，如为中标人人为损坏的由中标人自行承担维修和购置费用。</w:t>
      </w:r>
    </w:p>
    <w:p w14:paraId="76139C6A">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（评审项15）</w:t>
      </w:r>
      <w:r>
        <w:rPr>
          <w:rFonts w:hint="eastAsia" w:ascii="宋体" w:hAnsi="宋体" w:eastAsia="宋体" w:cs="宋体"/>
          <w:color w:val="auto"/>
          <w:kern w:val="0"/>
          <w:sz w:val="24"/>
          <w:szCs w:val="24"/>
          <w:highlight w:val="none"/>
        </w:rPr>
        <w:t>4、管理期间，中标人免费使用招标人的设备、厨具等，</w:t>
      </w:r>
      <w:r>
        <w:rPr>
          <w:rFonts w:hint="eastAsia" w:ascii="宋体" w:hAnsi="宋体" w:eastAsia="宋体" w:cs="宋体"/>
          <w:color w:val="auto"/>
          <w:sz w:val="24"/>
          <w:szCs w:val="24"/>
          <w:highlight w:val="none"/>
        </w:rPr>
        <w:t>中标人要做好防火防盗、用电安全工作，因中标人管理不善发生短少、损坏、被盗的，均需照价赔偿。若需添置其他设备和用具，经招标人同意后由招标人负责购买。</w:t>
      </w:r>
    </w:p>
    <w:p w14:paraId="1B67B6E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jc w:val="left"/>
        <w:textAlignment w:val="auto"/>
        <w:outlineLvl w:val="1"/>
        <w:rPr>
          <w:rFonts w:hint="eastAsia" w:ascii="宋体" w:hAnsi="宋体" w:eastAsia="宋体" w:cs="宋体"/>
          <w:b/>
          <w:bCs/>
          <w:color w:val="auto"/>
          <w:kern w:val="0"/>
          <w:sz w:val="24"/>
          <w:szCs w:val="24"/>
          <w:highlight w:val="none"/>
        </w:rPr>
      </w:pPr>
      <w:bookmarkStart w:id="94" w:name="_Toc10936"/>
      <w:bookmarkStart w:id="95" w:name="_Toc27754"/>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其他服务要求</w:t>
      </w:r>
      <w:bookmarkEnd w:id="94"/>
      <w:bookmarkEnd w:id="95"/>
    </w:p>
    <w:p w14:paraId="105CA7F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strike/>
          <w:color w:val="auto"/>
          <w:kern w:val="0"/>
          <w:sz w:val="24"/>
          <w:szCs w:val="24"/>
          <w:highlight w:val="none"/>
          <w:lang w:eastAsia="zh-CN"/>
        </w:rPr>
      </w:pPr>
      <w:r>
        <w:rPr>
          <w:rFonts w:hint="eastAsia" w:ascii="宋体" w:hAnsi="宋体" w:eastAsia="宋体" w:cs="宋体"/>
          <w:color w:val="auto"/>
          <w:sz w:val="24"/>
          <w:szCs w:val="24"/>
          <w:highlight w:val="none"/>
          <w:u w:val="none"/>
        </w:rPr>
        <w:t>★</w:t>
      </w:r>
      <w:r>
        <w:rPr>
          <w:rFonts w:hint="eastAsia" w:ascii="宋体" w:hAnsi="宋体" w:eastAsia="宋体" w:cs="宋体"/>
          <w:color w:val="auto"/>
          <w:kern w:val="0"/>
          <w:sz w:val="24"/>
          <w:szCs w:val="24"/>
          <w:highlight w:val="none"/>
        </w:rPr>
        <w:t>1、中标人服务期间必须严格执行《食品安全法》和《餐饮卫生要求》等有关规定及要求，严防食物中毒和消防事故的发生</w:t>
      </w:r>
      <w:r>
        <w:rPr>
          <w:rFonts w:hint="eastAsia" w:ascii="宋体" w:hAnsi="宋体" w:eastAsia="宋体" w:cs="宋体"/>
          <w:strike w:val="0"/>
          <w:color w:val="auto"/>
          <w:kern w:val="0"/>
          <w:sz w:val="24"/>
          <w:szCs w:val="24"/>
          <w:highlight w:val="none"/>
          <w:lang w:eastAsia="zh-CN"/>
        </w:rPr>
        <w:t>。</w:t>
      </w:r>
    </w:p>
    <w:p w14:paraId="469BBABB">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（评审项16）</w:t>
      </w: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中标人派驻的所有工作人员必须经过体检合格，有健康证、</w:t>
      </w:r>
      <w:r>
        <w:rPr>
          <w:rFonts w:hint="eastAsia" w:ascii="宋体" w:hAnsi="宋体" w:eastAsia="宋体" w:cs="宋体"/>
          <w:color w:val="auto"/>
          <w:kern w:val="0"/>
          <w:sz w:val="24"/>
          <w:szCs w:val="24"/>
          <w:highlight w:val="none"/>
        </w:rPr>
        <w:t>依照规定取得食品卫生安全知识及相应岗位技能培训合格证，</w:t>
      </w:r>
      <w:r>
        <w:rPr>
          <w:rFonts w:hint="eastAsia" w:ascii="宋体" w:hAnsi="宋体" w:eastAsia="宋体" w:cs="宋体"/>
          <w:color w:val="auto"/>
          <w:sz w:val="24"/>
          <w:szCs w:val="24"/>
          <w:highlight w:val="none"/>
        </w:rPr>
        <w:t>有一定餐厅工作经验。工作人员在工作场所不允许抽烟，不留长指甲，在工作场所须统一着装。佩戴围裙、一次性手套、口罩、帽子，达到国家规定的卫生标准。</w:t>
      </w:r>
    </w:p>
    <w:p w14:paraId="5DDF8D92">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01"/>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u w:val="none"/>
        </w:rPr>
        <w:t>★</w:t>
      </w:r>
      <w:r>
        <w:rPr>
          <w:rFonts w:hint="eastAsia" w:ascii="宋体" w:hAnsi="宋体" w:eastAsia="宋体" w:cs="宋体"/>
          <w:color w:val="auto"/>
          <w:kern w:val="0"/>
          <w:sz w:val="24"/>
          <w:szCs w:val="24"/>
          <w:highlight w:val="none"/>
        </w:rPr>
        <w:t xml:space="preserve">3、中标人需配合招标人做好食品台账，必须按照规定每日做好留样、留存留样记录，严格执行食品卫生安全的有关规定。 </w:t>
      </w:r>
    </w:p>
    <w:p w14:paraId="18741695">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（评审项17）</w:t>
      </w:r>
      <w:r>
        <w:rPr>
          <w:rFonts w:hint="eastAsia" w:ascii="宋体" w:hAnsi="宋体" w:eastAsia="宋体" w:cs="宋体"/>
          <w:color w:val="auto"/>
          <w:sz w:val="24"/>
          <w:szCs w:val="24"/>
          <w:highlight w:val="none"/>
        </w:rPr>
        <w:t>4、中标人应建立厨房设备耗损及消毒次数、时间等情况的记录，以备查验。</w:t>
      </w:r>
    </w:p>
    <w:p w14:paraId="7B881B1C">
      <w:pPr>
        <w:keepNext w:val="0"/>
        <w:keepLines w:val="0"/>
        <w:pageBreakBefore w:val="0"/>
        <w:kinsoku/>
        <w:wordWrap/>
        <w:overflowPunct/>
        <w:topLinePunct w:val="0"/>
        <w:autoSpaceDE/>
        <w:autoSpaceDN/>
        <w:bidi w:val="0"/>
        <w:adjustRightInd/>
        <w:snapToGrid/>
        <w:spacing w:beforeAutospacing="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（评审项18）</w:t>
      </w:r>
      <w:r>
        <w:rPr>
          <w:rFonts w:hint="eastAsia" w:ascii="宋体" w:hAnsi="宋体" w:eastAsia="宋体" w:cs="宋体"/>
          <w:color w:val="auto"/>
          <w:sz w:val="24"/>
          <w:szCs w:val="24"/>
          <w:highlight w:val="none"/>
        </w:rPr>
        <w:t>5、招标人提供相应水、电保障；中标人需进行节约能源的管理，不得发生长明灯、长流水等浪费行为。</w:t>
      </w:r>
    </w:p>
    <w:p w14:paraId="7C033519">
      <w:pPr>
        <w:keepNext w:val="0"/>
        <w:keepLines w:val="0"/>
        <w:pageBreakBefore w:val="0"/>
        <w:kinsoku/>
        <w:wordWrap/>
        <w:overflowPunct/>
        <w:topLinePunct w:val="0"/>
        <w:autoSpaceDE/>
        <w:autoSpaceDN/>
        <w:bidi w:val="0"/>
        <w:adjustRightInd/>
        <w:snapToGrid/>
        <w:spacing w:beforeAutospacing="0" w:afterAutospacing="0" w:line="360" w:lineRule="auto"/>
        <w:ind w:firstLine="361" w:firstLineChars="150"/>
        <w:textAlignment w:val="auto"/>
        <w:rPr>
          <w:rFonts w:hint="eastAsia" w:ascii="宋体" w:hAnsi="宋体" w:eastAsia="宋体" w:cs="宋体"/>
          <w:color w:val="auto"/>
          <w:sz w:val="24"/>
          <w:szCs w:val="24"/>
          <w:highlight w:val="none"/>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（评审项19）</w:t>
      </w:r>
      <w:r>
        <w:rPr>
          <w:rFonts w:hint="eastAsia" w:ascii="宋体" w:hAnsi="宋体" w:eastAsia="宋体" w:cs="宋体"/>
          <w:color w:val="auto"/>
          <w:sz w:val="24"/>
          <w:szCs w:val="24"/>
          <w:highlight w:val="none"/>
        </w:rPr>
        <w:t>6、中标人必须严格遵守招标人的作息时间和一切规章制度，合理安排菜品，能为因特殊情况延长工作的人员预留（保温）饭菜或点心，确保人员就餐。</w:t>
      </w:r>
    </w:p>
    <w:p w14:paraId="4EABDF78">
      <w:pPr>
        <w:spacing w:line="360" w:lineRule="auto"/>
        <w:jc w:val="left"/>
        <w:rPr>
          <w:rFonts w:hint="eastAsia" w:cs="宋体"/>
          <w:b/>
          <w:bCs/>
          <w:color w:val="auto"/>
          <w:sz w:val="24"/>
          <w:szCs w:val="24"/>
          <w:highlight w:val="none"/>
          <w:lang w:eastAsia="zh-CN"/>
        </w:rPr>
      </w:pPr>
      <w:r>
        <w:rPr>
          <w:rFonts w:hint="eastAsia" w:ascii="宋体" w:hAnsi="宋体" w:eastAsia="宋体" w:cs="宋体"/>
          <w:b/>
          <w:bCs/>
          <w:i w:val="0"/>
          <w:iCs w:val="0"/>
          <w:caps w:val="0"/>
          <w:color w:val="auto"/>
          <w:spacing w:val="0"/>
          <w:sz w:val="24"/>
          <w:szCs w:val="24"/>
          <w:highlight w:val="none"/>
          <w:u w:val="single"/>
          <w:shd w:val="clear" w:color="auto" w:fill="FFFFFF"/>
          <w:lang w:val="en-US" w:eastAsia="zh-CN"/>
        </w:rPr>
        <w:t>（评审项20）</w:t>
      </w:r>
      <w:r>
        <w:rPr>
          <w:rFonts w:hint="eastAsia" w:ascii="宋体" w:hAnsi="宋体" w:eastAsia="宋体" w:cs="宋体"/>
          <w:color w:val="auto"/>
          <w:sz w:val="24"/>
          <w:szCs w:val="24"/>
          <w:highlight w:val="none"/>
        </w:rPr>
        <w:t>7、中标人每日必须对食堂内外卫生进行清扫，及时清理垃圾。对餐饮器具进行清洁、消毒。招标人提供的酱油、醋等调料及牙签、洗洁精等保洁品，中标人应本着厉行节约的态度、妥善保管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br w:type="textWrapping"/>
      </w:r>
      <w:r>
        <w:rPr>
          <w:rFonts w:hint="eastAsia" w:ascii="宋体" w:hAnsi="宋体" w:cs="宋体"/>
          <w:b/>
          <w:bCs/>
          <w:color w:val="auto"/>
          <w:sz w:val="24"/>
          <w:highlight w:val="none"/>
        </w:rPr>
        <w:t>★三、商务条件</w:t>
      </w:r>
      <w:r>
        <w:rPr>
          <w:rFonts w:hint="eastAsia" w:cs="宋体"/>
          <w:b/>
          <w:bCs/>
          <w:color w:val="auto"/>
          <w:sz w:val="24"/>
          <w:szCs w:val="24"/>
          <w:highlight w:val="none"/>
          <w:lang w:eastAsia="zh-CN"/>
        </w:rPr>
        <w:t>（以下内容均为不允许负偏离的实质性要求）</w:t>
      </w:r>
    </w:p>
    <w:tbl>
      <w:tblPr>
        <w:tblStyle w:val="20"/>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3"/>
        <w:gridCol w:w="1938"/>
        <w:gridCol w:w="7029"/>
      </w:tblGrid>
      <w:tr w14:paraId="52847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trPr>
        <w:tc>
          <w:tcPr>
            <w:tcW w:w="552" w:type="pct"/>
            <w:vAlign w:val="center"/>
          </w:tcPr>
          <w:p w14:paraId="598447D3">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961" w:type="pct"/>
            <w:vAlign w:val="center"/>
          </w:tcPr>
          <w:p w14:paraId="39BF1FCA">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类型</w:t>
            </w:r>
          </w:p>
        </w:tc>
        <w:tc>
          <w:tcPr>
            <w:tcW w:w="3486" w:type="pct"/>
            <w:vAlign w:val="center"/>
          </w:tcPr>
          <w:p w14:paraId="39653BEE">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要求</w:t>
            </w:r>
          </w:p>
        </w:tc>
      </w:tr>
      <w:tr w14:paraId="4446ED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552" w:type="pct"/>
            <w:vAlign w:val="center"/>
          </w:tcPr>
          <w:p w14:paraId="209F0CE7">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961" w:type="pct"/>
            <w:vAlign w:val="center"/>
          </w:tcPr>
          <w:p w14:paraId="6721BE40">
            <w:pPr>
              <w:pStyle w:val="4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服务</w:t>
            </w:r>
            <w:r>
              <w:rPr>
                <w:rFonts w:hint="eastAsia" w:ascii="宋体" w:hAnsi="宋体" w:eastAsia="宋体" w:cs="宋体"/>
                <w:color w:val="auto"/>
                <w:sz w:val="24"/>
                <w:szCs w:val="24"/>
              </w:rPr>
              <w:t>时间</w:t>
            </w:r>
          </w:p>
        </w:tc>
        <w:tc>
          <w:tcPr>
            <w:tcW w:w="3486" w:type="pct"/>
            <w:vAlign w:val="center"/>
          </w:tcPr>
          <w:p w14:paraId="3CE6796A">
            <w:pPr>
              <w:pStyle w:val="17"/>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0" w:firstLineChars="0"/>
              <w:jc w:val="both"/>
              <w:rPr>
                <w:rFonts w:hint="default" w:ascii="宋体" w:hAnsi="宋体" w:eastAsia="宋体" w:cs="宋体"/>
                <w:color w:val="auto"/>
                <w:sz w:val="24"/>
                <w:szCs w:val="24"/>
                <w:lang w:val="en-US" w:eastAsia="zh-CN"/>
              </w:rPr>
            </w:pPr>
            <w:r>
              <w:rPr>
                <w:rFonts w:hint="eastAsia" w:cs="宋体"/>
                <w:color w:val="auto"/>
                <w:sz w:val="24"/>
                <w:szCs w:val="24"/>
                <w:lang w:val="en-US" w:eastAsia="zh-CN"/>
              </w:rPr>
              <w:t>2年。具体起止时间以合同签订时间为准。</w:t>
            </w:r>
          </w:p>
        </w:tc>
      </w:tr>
      <w:tr w14:paraId="352B5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4ADE8654">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961" w:type="pct"/>
            <w:vAlign w:val="center"/>
          </w:tcPr>
          <w:p w14:paraId="6F62914C">
            <w:pPr>
              <w:pStyle w:val="4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服务</w:t>
            </w:r>
            <w:r>
              <w:rPr>
                <w:rFonts w:hint="eastAsia" w:ascii="宋体" w:hAnsi="宋体" w:eastAsia="宋体" w:cs="宋体"/>
                <w:color w:val="auto"/>
                <w:sz w:val="24"/>
                <w:szCs w:val="24"/>
              </w:rPr>
              <w:t>地点</w:t>
            </w:r>
          </w:p>
        </w:tc>
        <w:tc>
          <w:tcPr>
            <w:tcW w:w="3486" w:type="pct"/>
            <w:vAlign w:val="center"/>
          </w:tcPr>
          <w:p w14:paraId="6408C93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rPr>
              <w:t>福州市仓山区螺洲镇刀石山</w:t>
            </w:r>
            <w:r>
              <w:rPr>
                <w:rFonts w:hint="eastAsia" w:ascii="宋体" w:hAnsi="宋体" w:eastAsia="宋体" w:cs="宋体"/>
                <w:b w:val="0"/>
                <w:bCs w:val="0"/>
                <w:color w:val="auto"/>
                <w:sz w:val="24"/>
                <w:szCs w:val="24"/>
                <w:highlight w:val="none"/>
                <w:lang w:val="en-US" w:eastAsia="zh-CN"/>
              </w:rPr>
              <w:t>路</w:t>
            </w:r>
            <w:r>
              <w:rPr>
                <w:rFonts w:hint="eastAsia" w:ascii="宋体" w:hAnsi="宋体" w:eastAsia="宋体" w:cs="宋体"/>
                <w:b w:val="0"/>
                <w:bCs w:val="0"/>
                <w:color w:val="auto"/>
                <w:sz w:val="24"/>
                <w:szCs w:val="24"/>
                <w:highlight w:val="none"/>
              </w:rPr>
              <w:t>8号</w:t>
            </w:r>
            <w:r>
              <w:rPr>
                <w:rFonts w:hint="eastAsia" w:ascii="宋体" w:hAnsi="宋体" w:eastAsia="宋体" w:cs="宋体"/>
                <w:b w:val="0"/>
                <w:bCs w:val="0"/>
                <w:color w:val="auto"/>
                <w:kern w:val="0"/>
                <w:sz w:val="24"/>
                <w:szCs w:val="24"/>
                <w:highlight w:val="none"/>
                <w:lang w:eastAsia="zh-CN"/>
              </w:rPr>
              <w:t>。</w:t>
            </w:r>
          </w:p>
        </w:tc>
      </w:tr>
      <w:tr w14:paraId="62F77D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43369194">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bookmarkStart w:id="136" w:name="_GoBack"/>
            <w:r>
              <w:rPr>
                <w:rFonts w:hint="eastAsia" w:ascii="宋体" w:hAnsi="宋体" w:eastAsia="宋体" w:cs="宋体"/>
                <w:color w:val="auto"/>
                <w:sz w:val="24"/>
                <w:szCs w:val="24"/>
              </w:rPr>
              <w:t>3</w:t>
            </w:r>
          </w:p>
        </w:tc>
        <w:tc>
          <w:tcPr>
            <w:tcW w:w="961" w:type="pct"/>
            <w:vAlign w:val="center"/>
          </w:tcPr>
          <w:p w14:paraId="336DACF9">
            <w:pPr>
              <w:pStyle w:val="42"/>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服务</w:t>
            </w:r>
            <w:r>
              <w:rPr>
                <w:rFonts w:hint="eastAsia" w:ascii="宋体" w:hAnsi="宋体" w:eastAsia="宋体" w:cs="宋体"/>
                <w:color w:val="auto"/>
                <w:sz w:val="24"/>
                <w:szCs w:val="24"/>
              </w:rPr>
              <w:t>条件</w:t>
            </w:r>
          </w:p>
        </w:tc>
        <w:tc>
          <w:tcPr>
            <w:tcW w:w="3486" w:type="pct"/>
            <w:vAlign w:val="center"/>
          </w:tcPr>
          <w:p w14:paraId="520B2B8F">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依据考核情况进行验收，具体考核办法详见招标文件</w:t>
            </w:r>
            <w:r>
              <w:rPr>
                <w:rFonts w:hint="eastAsia" w:ascii="宋体" w:hAnsi="宋体" w:eastAsia="宋体" w:cs="宋体"/>
                <w:color w:val="auto"/>
                <w:sz w:val="24"/>
                <w:szCs w:val="24"/>
                <w:lang w:eastAsia="zh-CN"/>
              </w:rPr>
              <w:t>附件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职工食堂服务外包日考评汇总表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、“满意度测评表”</w:t>
            </w:r>
            <w:r>
              <w:rPr>
                <w:rFonts w:hint="eastAsia" w:ascii="宋体" w:hAnsi="宋体" w:eastAsia="宋体" w:cs="宋体"/>
                <w:color w:val="auto"/>
                <w:sz w:val="24"/>
                <w:szCs w:val="24"/>
              </w:rPr>
              <w:t>。</w:t>
            </w:r>
          </w:p>
        </w:tc>
      </w:tr>
      <w:tr w14:paraId="42586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1182BA00">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961" w:type="pct"/>
            <w:vAlign w:val="center"/>
          </w:tcPr>
          <w:p w14:paraId="5A9CB928">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是否邀请投标人参与验收</w:t>
            </w:r>
          </w:p>
        </w:tc>
        <w:tc>
          <w:tcPr>
            <w:tcW w:w="3486" w:type="pct"/>
            <w:vAlign w:val="center"/>
          </w:tcPr>
          <w:p w14:paraId="3EC0588F">
            <w:pPr>
              <w:pStyle w:val="42"/>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14:paraId="1416A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219F4A7D">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961" w:type="pct"/>
            <w:vAlign w:val="center"/>
          </w:tcPr>
          <w:p w14:paraId="5670F0ED">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3486" w:type="pct"/>
          </w:tcPr>
          <w:p w14:paraId="19F8EE78">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合同期内采取“日考核</w:t>
            </w:r>
            <w:r>
              <w:rPr>
                <w:rFonts w:hint="eastAsia" w:ascii="宋体" w:hAnsi="宋体" w:eastAsia="宋体" w:cs="宋体"/>
                <w:color w:val="auto"/>
                <w:sz w:val="24"/>
                <w:szCs w:val="24"/>
                <w:lang w:val="en-US" w:eastAsia="zh-CN"/>
              </w:rPr>
              <w:t>+月考核</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的模式进行。</w:t>
            </w:r>
            <w:r>
              <w:rPr>
                <w:rFonts w:hint="eastAsia" w:ascii="宋体" w:hAnsi="宋体" w:eastAsia="宋体" w:cs="宋体"/>
                <w:color w:val="auto"/>
                <w:sz w:val="24"/>
                <w:szCs w:val="24"/>
              </w:rPr>
              <w:t>详见招标文件</w:t>
            </w:r>
            <w:r>
              <w:rPr>
                <w:rFonts w:hint="eastAsia" w:ascii="宋体" w:hAnsi="宋体" w:eastAsia="宋体" w:cs="宋体"/>
                <w:color w:val="auto"/>
                <w:sz w:val="24"/>
                <w:szCs w:val="24"/>
                <w:lang w:eastAsia="zh-CN"/>
              </w:rPr>
              <w:t>本章</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职工食堂服务外包日考评汇总表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highlight w:val="none"/>
                <w:lang w:eastAsia="zh-CN"/>
              </w:rPr>
              <w:t>满意度测评表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tc>
      </w:tr>
      <w:tr w14:paraId="7B381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1305F2EC">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961" w:type="pct"/>
            <w:vAlign w:val="center"/>
          </w:tcPr>
          <w:p w14:paraId="067C3B07">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3486" w:type="pct"/>
          </w:tcPr>
          <w:p w14:paraId="5D128310">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highlight w:val="none"/>
              </w:rPr>
              <w:t>根据考核情况，</w:t>
            </w:r>
            <w:r>
              <w:rPr>
                <w:rFonts w:hint="eastAsia" w:ascii="宋体" w:hAnsi="宋体" w:eastAsia="宋体" w:cs="宋体"/>
                <w:color w:val="auto"/>
                <w:kern w:val="0"/>
                <w:sz w:val="24"/>
                <w:szCs w:val="24"/>
                <w:highlight w:val="none"/>
                <w:lang w:val="en-US" w:eastAsia="zh-CN"/>
              </w:rPr>
              <w:t>支付当月的服务费用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注：招标人向中标人支付每笔款项时，中标人均应向招标人提供等额的增值税专用发票。</w:t>
            </w:r>
          </w:p>
        </w:tc>
      </w:tr>
      <w:tr w14:paraId="77EF6E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2" w:type="pct"/>
            <w:vAlign w:val="center"/>
          </w:tcPr>
          <w:p w14:paraId="2126B57D">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961" w:type="pct"/>
            <w:vAlign w:val="center"/>
          </w:tcPr>
          <w:p w14:paraId="5CA10214">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3486" w:type="pct"/>
          </w:tcPr>
          <w:p w14:paraId="7E2CA69A">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缴纳, 本</w:t>
            </w:r>
            <w:r>
              <w:rPr>
                <w:rFonts w:hint="eastAsia" w:ascii="宋体" w:hAnsi="宋体" w:cs="宋体"/>
                <w:color w:val="auto"/>
                <w:sz w:val="24"/>
                <w:szCs w:val="24"/>
                <w:lang w:eastAsia="zh-CN"/>
              </w:rPr>
              <w:t>项目</w:t>
            </w:r>
            <w:r>
              <w:rPr>
                <w:rFonts w:hint="eastAsia" w:ascii="宋体" w:hAnsi="宋体" w:eastAsia="宋体" w:cs="宋体"/>
                <w:color w:val="auto"/>
                <w:sz w:val="24"/>
                <w:szCs w:val="24"/>
              </w:rPr>
              <w:t>履约保证金为合同金额的</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p>
          <w:p w14:paraId="2FC6138E">
            <w:pPr>
              <w:pStyle w:val="42"/>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说明：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需在签订合同前向</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支付合同金额的</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%作为履约保证金。</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以银行转账、支票、银行无条件支付保函（保函的有效期覆盖</w:t>
            </w:r>
            <w:r>
              <w:rPr>
                <w:rFonts w:hint="eastAsia" w:ascii="宋体" w:hAnsi="宋体" w:eastAsia="宋体" w:cs="宋体"/>
                <w:color w:val="auto"/>
                <w:sz w:val="24"/>
                <w:szCs w:val="24"/>
                <w:lang w:eastAsia="zh-CN"/>
              </w:rPr>
              <w:t>合同履约期</w:t>
            </w:r>
            <w:r>
              <w:rPr>
                <w:rFonts w:hint="eastAsia" w:ascii="宋体" w:hAnsi="宋体" w:eastAsia="宋体" w:cs="宋体"/>
                <w:color w:val="auto"/>
                <w:sz w:val="24"/>
                <w:szCs w:val="24"/>
              </w:rPr>
              <w:t>内）等形式向</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缴交</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未按合同有关规定履行其义务，</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有权不予退还履约保证金。该履约保证金在合同期满、合同约定全部事项履行完毕、</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无违约情形的情况下，由</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提出退还履约保证金申请，</w:t>
            </w:r>
            <w:r>
              <w:rPr>
                <w:rFonts w:hint="eastAsia" w:ascii="宋体" w:hAnsi="宋体" w:eastAsia="宋体" w:cs="宋体"/>
                <w:color w:val="auto"/>
                <w:sz w:val="24"/>
                <w:szCs w:val="24"/>
                <w:lang w:eastAsia="zh-CN"/>
              </w:rPr>
              <w:t>招标人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申请文件后</w:t>
            </w:r>
            <w:r>
              <w:rPr>
                <w:rFonts w:hint="eastAsia" w:ascii="宋体" w:hAnsi="宋体" w:eastAsia="宋体" w:cs="宋体"/>
                <w:color w:val="auto"/>
                <w:sz w:val="24"/>
                <w:szCs w:val="24"/>
                <w:lang w:val="en-US" w:eastAsia="zh-CN"/>
              </w:rPr>
              <w:t>10个工作</w:t>
            </w:r>
            <w:r>
              <w:rPr>
                <w:rFonts w:hint="eastAsia" w:ascii="宋体" w:hAnsi="宋体" w:eastAsia="宋体" w:cs="宋体"/>
                <w:color w:val="auto"/>
                <w:sz w:val="24"/>
                <w:szCs w:val="24"/>
              </w:rPr>
              <w:t>日内无息返还履约保证金。</w:t>
            </w:r>
          </w:p>
        </w:tc>
      </w:tr>
    </w:tbl>
    <w:p w14:paraId="5DC80C9F">
      <w:pPr>
        <w:pStyle w:val="42"/>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14:paraId="24FDF3BE">
      <w:pPr>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482" w:firstLineChars="200"/>
        <w:textAlignment w:val="auto"/>
        <w:outlineLvl w:val="1"/>
        <w:rPr>
          <w:rFonts w:hint="eastAsia" w:ascii="宋体" w:hAnsi="宋体" w:eastAsia="宋体" w:cs="宋体"/>
          <w:b/>
          <w:bCs/>
          <w:color w:val="auto"/>
          <w:sz w:val="24"/>
          <w:szCs w:val="24"/>
          <w:highlight w:val="none"/>
        </w:rPr>
      </w:pPr>
      <w:bookmarkStart w:id="96" w:name="_Toc807"/>
      <w:bookmarkStart w:id="97" w:name="_Toc10496"/>
      <w:r>
        <w:rPr>
          <w:rFonts w:hint="eastAsia" w:ascii="宋体" w:hAnsi="宋体" w:eastAsia="宋体" w:cs="宋体"/>
          <w:b/>
          <w:bCs/>
          <w:color w:val="auto"/>
          <w:kern w:val="2"/>
          <w:sz w:val="24"/>
          <w:szCs w:val="24"/>
          <w:highlight w:val="none"/>
          <w:lang w:val="en-US" w:eastAsia="zh-CN" w:bidi="ar-SA"/>
        </w:rPr>
        <w:t>8、</w:t>
      </w:r>
      <w:r>
        <w:rPr>
          <w:rFonts w:hint="eastAsia" w:ascii="宋体" w:hAnsi="宋体" w:eastAsia="宋体" w:cs="宋体"/>
          <w:b/>
          <w:bCs/>
          <w:color w:val="auto"/>
          <w:sz w:val="24"/>
          <w:szCs w:val="24"/>
          <w:highlight w:val="none"/>
        </w:rPr>
        <w:t>违约责任</w:t>
      </w:r>
      <w:bookmarkEnd w:id="96"/>
      <w:bookmarkEnd w:id="97"/>
    </w:p>
    <w:p w14:paraId="1162FBDF">
      <w:pPr>
        <w:keepNext w:val="0"/>
        <w:keepLines w:val="0"/>
        <w:pageBreakBefore w:val="0"/>
        <w:widowControl/>
        <w:kinsoku/>
        <w:wordWrap/>
        <w:overflowPunct/>
        <w:topLinePunct w:val="0"/>
        <w:autoSpaceDE/>
        <w:autoSpaceDN/>
        <w:bidi w:val="0"/>
        <w:adjustRightInd/>
        <w:snapToGrid/>
        <w:spacing w:beforeAutospacing="0" w:afterAutospacing="0" w:line="360" w:lineRule="auto"/>
        <w:ind w:right="-211" w:firstLine="482" w:firstLineChars="200"/>
        <w:textAlignment w:val="auto"/>
        <w:rPr>
          <w:rFonts w:hint="eastAsia" w:ascii="宋体" w:hAnsi="宋体" w:eastAsia="宋体" w:cs="宋体"/>
          <w:b/>
          <w:color w:val="auto"/>
          <w:sz w:val="24"/>
          <w:szCs w:val="24"/>
          <w:highlight w:val="none"/>
          <w:lang w:val="zh-TW"/>
        </w:rPr>
      </w:pPr>
      <w:r>
        <w:rPr>
          <w:rFonts w:hint="eastAsia" w:ascii="宋体" w:hAnsi="宋体" w:eastAsia="宋体" w:cs="宋体"/>
          <w:b/>
          <w:color w:val="auto"/>
          <w:sz w:val="24"/>
          <w:szCs w:val="24"/>
          <w:highlight w:val="none"/>
          <w:lang w:val="en-US" w:eastAsia="zh-CN"/>
        </w:rPr>
        <w:t>8.1</w:t>
      </w:r>
      <w:r>
        <w:rPr>
          <w:rFonts w:hint="eastAsia" w:ascii="宋体" w:hAnsi="宋体" w:eastAsia="宋体" w:cs="宋体"/>
          <w:b/>
          <w:color w:val="auto"/>
          <w:sz w:val="24"/>
          <w:szCs w:val="24"/>
          <w:highlight w:val="none"/>
          <w:lang w:val="zh-TW"/>
        </w:rPr>
        <w:t>解除合同违约责任</w:t>
      </w:r>
    </w:p>
    <w:p w14:paraId="48D423C9">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签订合同后</w:t>
      </w:r>
      <w:r>
        <w:rPr>
          <w:rFonts w:hint="eastAsia" w:ascii="宋体" w:hAnsi="宋体" w:eastAsia="宋体" w:cs="宋体"/>
          <w:color w:val="auto"/>
          <w:kern w:val="0"/>
          <w:sz w:val="24"/>
          <w:szCs w:val="24"/>
          <w:highlight w:val="none"/>
          <w:lang w:val="zh-TW" w:eastAsia="zh-TW" w:bidi="ar-SA"/>
        </w:rPr>
        <w:t>因</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TW" w:bidi="ar-SA"/>
        </w:rPr>
        <w:t>任何违约行为导致本</w:t>
      </w:r>
      <w:r>
        <w:rPr>
          <w:rFonts w:hint="eastAsia" w:ascii="宋体" w:hAnsi="宋体" w:eastAsia="宋体" w:cs="宋体"/>
          <w:color w:val="auto"/>
          <w:kern w:val="0"/>
          <w:sz w:val="24"/>
          <w:szCs w:val="24"/>
          <w:highlight w:val="none"/>
          <w:lang w:val="en-US" w:eastAsia="zh-CN" w:bidi="ar-SA"/>
        </w:rPr>
        <w:t>项目</w:t>
      </w:r>
      <w:r>
        <w:rPr>
          <w:rFonts w:hint="eastAsia" w:ascii="宋体" w:hAnsi="宋体" w:eastAsia="宋体" w:cs="宋体"/>
          <w:color w:val="auto"/>
          <w:kern w:val="0"/>
          <w:sz w:val="24"/>
          <w:szCs w:val="24"/>
          <w:highlight w:val="none"/>
          <w:lang w:val="zh-TW" w:eastAsia="zh-TW" w:bidi="ar-SA"/>
        </w:rPr>
        <w:t>合同无法正常</w:t>
      </w:r>
      <w:r>
        <w:rPr>
          <w:rFonts w:hint="eastAsia" w:ascii="宋体" w:hAnsi="宋体" w:eastAsia="宋体" w:cs="宋体"/>
          <w:color w:val="auto"/>
          <w:kern w:val="0"/>
          <w:sz w:val="24"/>
          <w:szCs w:val="24"/>
          <w:highlight w:val="none"/>
          <w:lang w:val="zh-TW" w:eastAsia="zh-CN" w:bidi="ar-SA"/>
        </w:rPr>
        <w:t>继续</w:t>
      </w:r>
      <w:r>
        <w:rPr>
          <w:rFonts w:hint="eastAsia" w:ascii="宋体" w:hAnsi="宋体" w:eastAsia="宋体" w:cs="宋体"/>
          <w:color w:val="auto"/>
          <w:kern w:val="0"/>
          <w:sz w:val="24"/>
          <w:szCs w:val="24"/>
          <w:highlight w:val="none"/>
          <w:lang w:val="zh-TW" w:eastAsia="zh-TW" w:bidi="ar-SA"/>
        </w:rPr>
        <w:t>履行或提前终止，</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TW" w:bidi="ar-SA"/>
        </w:rPr>
        <w:t>有权不予退还履约保证金</w:t>
      </w:r>
      <w:r>
        <w:rPr>
          <w:rFonts w:hint="eastAsia" w:ascii="宋体" w:hAnsi="宋体" w:eastAsia="宋体" w:cs="宋体"/>
          <w:color w:val="auto"/>
          <w:kern w:val="0"/>
          <w:sz w:val="24"/>
          <w:szCs w:val="24"/>
          <w:highlight w:val="none"/>
          <w:lang w:val="zh-TW" w:eastAsia="zh-CN" w:bidi="ar-SA"/>
        </w:rPr>
        <w:t>，</w:t>
      </w:r>
      <w:r>
        <w:rPr>
          <w:rFonts w:hint="eastAsia" w:ascii="宋体" w:hAnsi="宋体" w:eastAsia="宋体" w:cs="宋体"/>
          <w:color w:val="auto"/>
          <w:kern w:val="0"/>
          <w:sz w:val="24"/>
          <w:szCs w:val="24"/>
          <w:highlight w:val="none"/>
          <w:lang w:val="en-US" w:eastAsia="zh-CN" w:bidi="ar-SA"/>
        </w:rPr>
        <w:t>中标人还应支付本项目合同价款</w:t>
      </w:r>
      <w:r>
        <w:rPr>
          <w:rFonts w:hint="eastAsia" w:ascii="宋体" w:hAnsi="宋体" w:eastAsia="宋体" w:cs="宋体"/>
          <w:b/>
          <w:bCs/>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en-US" w:eastAsia="zh-CN" w:bidi="ar-SA"/>
        </w:rPr>
        <w:t>的违约金</w:t>
      </w:r>
      <w:r>
        <w:rPr>
          <w:rFonts w:hint="eastAsia" w:ascii="宋体" w:hAnsi="宋体" w:eastAsia="宋体" w:cs="宋体"/>
          <w:color w:val="auto"/>
          <w:kern w:val="0"/>
          <w:sz w:val="24"/>
          <w:szCs w:val="24"/>
          <w:highlight w:val="none"/>
          <w:lang w:val="zh-TW" w:eastAsia="zh-TW" w:bidi="ar-SA"/>
        </w:rPr>
        <w:t>。</w:t>
      </w:r>
      <w:r>
        <w:rPr>
          <w:rFonts w:hint="eastAsia" w:ascii="宋体" w:hAnsi="宋体" w:eastAsia="宋体" w:cs="宋体"/>
          <w:color w:val="auto"/>
          <w:kern w:val="0"/>
          <w:sz w:val="24"/>
          <w:szCs w:val="24"/>
          <w:highlight w:val="none"/>
          <w:lang w:val="en-US" w:eastAsia="zh-CN" w:bidi="ar-SA"/>
        </w:rPr>
        <w:t>违约金招标人可以从应支付合同款项中扣除。</w:t>
      </w:r>
    </w:p>
    <w:p w14:paraId="59AD9E82">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2" w:firstLineChars="200"/>
        <w:jc w:val="left"/>
        <w:textAlignment w:val="auto"/>
        <w:rPr>
          <w:rFonts w:hint="eastAsia" w:ascii="宋体" w:hAnsi="宋体" w:eastAsia="宋体" w:cs="宋体"/>
          <w:b/>
          <w:color w:val="auto"/>
          <w:kern w:val="0"/>
          <w:sz w:val="24"/>
          <w:szCs w:val="24"/>
          <w:highlight w:val="none"/>
          <w:lang w:val="zh-TW" w:eastAsia="zh-CN" w:bidi="ar-SA"/>
        </w:rPr>
      </w:pPr>
      <w:r>
        <w:rPr>
          <w:rFonts w:hint="eastAsia" w:ascii="宋体" w:hAnsi="宋体" w:eastAsia="宋体" w:cs="宋体"/>
          <w:b/>
          <w:color w:val="auto"/>
          <w:kern w:val="0"/>
          <w:sz w:val="24"/>
          <w:szCs w:val="24"/>
          <w:highlight w:val="none"/>
          <w:lang w:val="en-US" w:eastAsia="zh-CN" w:bidi="ar-SA"/>
        </w:rPr>
        <w:t>8.2</w:t>
      </w:r>
      <w:r>
        <w:rPr>
          <w:rFonts w:hint="eastAsia" w:ascii="宋体" w:hAnsi="宋体" w:eastAsia="宋体" w:cs="宋体"/>
          <w:b/>
          <w:color w:val="auto"/>
          <w:kern w:val="0"/>
          <w:sz w:val="24"/>
          <w:szCs w:val="24"/>
          <w:highlight w:val="none"/>
          <w:lang w:val="zh-TW" w:eastAsia="zh-CN" w:bidi="ar-SA"/>
        </w:rPr>
        <w:t>逾期提交发票等材料违约责任</w:t>
      </w:r>
    </w:p>
    <w:p w14:paraId="259E65E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须在约定的时间内完成结算对账并将合法有效发票及相关材料送达</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指定部门，如因</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原因未及时提供发票等相关材料的，每逾期</w:t>
      </w:r>
      <w:r>
        <w:rPr>
          <w:rFonts w:hint="eastAsia" w:ascii="宋体" w:hAnsi="宋体" w:eastAsia="宋体" w:cs="宋体"/>
          <w:b/>
          <w:bCs/>
          <w:color w:val="auto"/>
          <w:kern w:val="0"/>
          <w:sz w:val="24"/>
          <w:szCs w:val="24"/>
          <w:highlight w:val="none"/>
          <w:u w:val="single"/>
          <w:lang w:val="en-US" w:eastAsia="zh-CN" w:bidi="ar-SA"/>
        </w:rPr>
        <w:t>1</w:t>
      </w:r>
      <w:r>
        <w:rPr>
          <w:rFonts w:hint="eastAsia" w:ascii="宋体" w:hAnsi="宋体" w:eastAsia="宋体" w:cs="宋体"/>
          <w:color w:val="auto"/>
          <w:kern w:val="0"/>
          <w:sz w:val="24"/>
          <w:szCs w:val="24"/>
          <w:highlight w:val="none"/>
          <w:lang w:val="zh-TW" w:eastAsia="zh-CN" w:bidi="ar-SA"/>
        </w:rPr>
        <w:t>天，</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应向</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支付违约金人民币</w:t>
      </w:r>
      <w:r>
        <w:rPr>
          <w:rFonts w:hint="eastAsia" w:ascii="宋体" w:hAnsi="宋体" w:eastAsia="宋体" w:cs="宋体"/>
          <w:b/>
          <w:bCs/>
          <w:color w:val="auto"/>
          <w:kern w:val="0"/>
          <w:sz w:val="24"/>
          <w:szCs w:val="24"/>
          <w:highlight w:val="none"/>
          <w:u w:val="single"/>
          <w:lang w:val="en-US" w:eastAsia="zh-CN" w:bidi="ar-SA"/>
        </w:rPr>
        <w:t>100</w:t>
      </w:r>
      <w:r>
        <w:rPr>
          <w:rFonts w:hint="eastAsia" w:ascii="宋体" w:hAnsi="宋体" w:eastAsia="宋体" w:cs="宋体"/>
          <w:color w:val="auto"/>
          <w:kern w:val="0"/>
          <w:sz w:val="24"/>
          <w:szCs w:val="24"/>
          <w:highlight w:val="none"/>
          <w:lang w:val="zh-TW" w:eastAsia="zh-CN" w:bidi="ar-SA"/>
        </w:rPr>
        <w:t>元，如延迟超过</w:t>
      </w:r>
      <w:r>
        <w:rPr>
          <w:rFonts w:hint="eastAsia" w:ascii="宋体" w:hAnsi="宋体" w:eastAsia="宋体" w:cs="宋体"/>
          <w:b/>
          <w:bCs/>
          <w:color w:val="auto"/>
          <w:kern w:val="0"/>
          <w:sz w:val="24"/>
          <w:szCs w:val="24"/>
          <w:highlight w:val="none"/>
          <w:u w:val="single"/>
          <w:lang w:val="en-US" w:eastAsia="zh-CN" w:bidi="ar-SA"/>
        </w:rPr>
        <w:t>10</w:t>
      </w:r>
      <w:r>
        <w:rPr>
          <w:rFonts w:hint="eastAsia" w:ascii="宋体" w:hAnsi="宋体" w:eastAsia="宋体" w:cs="宋体"/>
          <w:color w:val="auto"/>
          <w:kern w:val="0"/>
          <w:sz w:val="24"/>
          <w:szCs w:val="24"/>
          <w:highlight w:val="none"/>
          <w:lang w:val="zh-TW" w:eastAsia="zh-CN" w:bidi="ar-SA"/>
        </w:rPr>
        <w:t>天（含）</w:t>
      </w:r>
      <w:r>
        <w:rPr>
          <w:rFonts w:hint="eastAsia" w:ascii="宋体" w:hAnsi="宋体" w:eastAsia="宋体" w:cs="宋体"/>
          <w:color w:val="auto"/>
          <w:kern w:val="0"/>
          <w:sz w:val="24"/>
          <w:szCs w:val="24"/>
          <w:highlight w:val="none"/>
          <w:lang w:val="en-US" w:eastAsia="zh-CN" w:bidi="ar-SA"/>
        </w:rPr>
        <w:t>以上</w:t>
      </w:r>
      <w:r>
        <w:rPr>
          <w:rFonts w:hint="eastAsia" w:ascii="宋体" w:hAnsi="宋体" w:eastAsia="宋体" w:cs="宋体"/>
          <w:color w:val="auto"/>
          <w:kern w:val="0"/>
          <w:sz w:val="24"/>
          <w:szCs w:val="24"/>
          <w:highlight w:val="none"/>
          <w:lang w:val="zh-TW" w:eastAsia="zh-CN" w:bidi="ar-SA"/>
        </w:rPr>
        <w:t>，</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有权不支付当月结算费用且有权单方面解除合同，</w:t>
      </w:r>
      <w:r>
        <w:rPr>
          <w:rFonts w:hint="eastAsia" w:ascii="宋体" w:hAnsi="宋体" w:eastAsia="宋体" w:cs="宋体"/>
          <w:color w:val="auto"/>
          <w:kern w:val="0"/>
          <w:sz w:val="24"/>
          <w:szCs w:val="24"/>
          <w:highlight w:val="none"/>
          <w:lang w:val="en-US" w:eastAsia="zh-CN" w:bidi="ar-SA"/>
        </w:rPr>
        <w:t>且不予退还履约保证金。</w:t>
      </w:r>
    </w:p>
    <w:p w14:paraId="577A7531">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2" w:firstLineChars="200"/>
        <w:jc w:val="left"/>
        <w:textAlignment w:val="auto"/>
        <w:rPr>
          <w:rFonts w:hint="eastAsia" w:ascii="宋体" w:hAnsi="宋体" w:eastAsia="宋体" w:cs="宋体"/>
          <w:b/>
          <w:color w:val="auto"/>
          <w:kern w:val="0"/>
          <w:sz w:val="24"/>
          <w:szCs w:val="24"/>
          <w:highlight w:val="none"/>
          <w:lang w:val="zh-TW" w:eastAsia="zh-CN" w:bidi="ar-SA"/>
        </w:rPr>
      </w:pPr>
      <w:r>
        <w:rPr>
          <w:rFonts w:hint="eastAsia" w:ascii="宋体" w:hAnsi="宋体" w:eastAsia="宋体" w:cs="宋体"/>
          <w:b/>
          <w:color w:val="auto"/>
          <w:kern w:val="0"/>
          <w:sz w:val="24"/>
          <w:szCs w:val="24"/>
          <w:highlight w:val="none"/>
          <w:lang w:val="en-US" w:eastAsia="zh-CN" w:bidi="ar-SA"/>
        </w:rPr>
        <w:t>8.3</w:t>
      </w:r>
      <w:r>
        <w:rPr>
          <w:rFonts w:hint="eastAsia" w:ascii="宋体" w:hAnsi="宋体" w:eastAsia="宋体" w:cs="宋体"/>
          <w:b/>
          <w:color w:val="auto"/>
          <w:kern w:val="0"/>
          <w:sz w:val="24"/>
          <w:szCs w:val="24"/>
          <w:highlight w:val="none"/>
          <w:lang w:val="zh-TW" w:eastAsia="zh-CN" w:bidi="ar-SA"/>
        </w:rPr>
        <w:t>分包转包违约责任</w:t>
      </w:r>
    </w:p>
    <w:p w14:paraId="25231606">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不得将本项目进行分包或转包，如发现经查实，</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有权单方解除合同并不予退还履约保证金，</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还须支付</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本</w:t>
      </w:r>
      <w:r>
        <w:rPr>
          <w:rFonts w:hint="eastAsia" w:ascii="宋体" w:hAnsi="宋体" w:eastAsia="宋体" w:cs="宋体"/>
          <w:color w:val="auto"/>
          <w:kern w:val="0"/>
          <w:sz w:val="24"/>
          <w:szCs w:val="24"/>
          <w:highlight w:val="none"/>
          <w:lang w:val="en-US" w:eastAsia="zh-CN" w:bidi="ar-SA"/>
        </w:rPr>
        <w:t>项目</w:t>
      </w:r>
      <w:r>
        <w:rPr>
          <w:rFonts w:hint="eastAsia" w:ascii="宋体" w:hAnsi="宋体" w:eastAsia="宋体" w:cs="宋体"/>
          <w:color w:val="auto"/>
          <w:kern w:val="0"/>
          <w:sz w:val="24"/>
          <w:szCs w:val="24"/>
          <w:highlight w:val="none"/>
          <w:lang w:val="zh-TW" w:eastAsia="zh-CN" w:bidi="ar-SA"/>
        </w:rPr>
        <w:t>合同金额</w:t>
      </w:r>
      <w:r>
        <w:rPr>
          <w:rFonts w:hint="eastAsia" w:ascii="宋体" w:hAnsi="宋体" w:eastAsia="宋体" w:cs="宋体"/>
          <w:b/>
          <w:bCs/>
          <w:color w:val="auto"/>
          <w:kern w:val="0"/>
          <w:sz w:val="24"/>
          <w:szCs w:val="24"/>
          <w:highlight w:val="none"/>
          <w:u w:val="single"/>
          <w:lang w:val="en-US" w:eastAsia="zh-CN" w:bidi="ar-SA"/>
        </w:rPr>
        <w:t>1</w:t>
      </w:r>
      <w:r>
        <w:rPr>
          <w:rFonts w:hint="eastAsia" w:ascii="宋体" w:hAnsi="宋体" w:eastAsia="宋体" w:cs="宋体"/>
          <w:b/>
          <w:bCs/>
          <w:color w:val="auto"/>
          <w:kern w:val="0"/>
          <w:sz w:val="24"/>
          <w:szCs w:val="24"/>
          <w:highlight w:val="none"/>
          <w:u w:val="single"/>
          <w:lang w:val="zh-TW" w:eastAsia="zh-CN" w:bidi="ar-SA"/>
        </w:rPr>
        <w:t>0%</w:t>
      </w:r>
      <w:r>
        <w:rPr>
          <w:rFonts w:hint="eastAsia" w:ascii="宋体" w:hAnsi="宋体" w:eastAsia="宋体" w:cs="宋体"/>
          <w:color w:val="auto"/>
          <w:kern w:val="0"/>
          <w:sz w:val="24"/>
          <w:szCs w:val="24"/>
          <w:highlight w:val="none"/>
          <w:lang w:val="zh-TW" w:eastAsia="zh-CN" w:bidi="ar-SA"/>
        </w:rPr>
        <w:t>的违约金。</w:t>
      </w:r>
    </w:p>
    <w:p w14:paraId="2CD1F92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2"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8.4</w:t>
      </w:r>
      <w:r>
        <w:rPr>
          <w:rFonts w:hint="eastAsia" w:ascii="宋体" w:hAnsi="宋体" w:eastAsia="宋体" w:cs="宋体"/>
          <w:b/>
          <w:bCs/>
          <w:color w:val="auto"/>
          <w:kern w:val="0"/>
          <w:sz w:val="24"/>
          <w:szCs w:val="24"/>
          <w:highlight w:val="none"/>
          <w:lang w:val="en-US" w:eastAsia="zh-CN" w:bidi="ar-SA"/>
        </w:rPr>
        <w:t>日常服务中的违约责任</w:t>
      </w:r>
    </w:p>
    <w:p w14:paraId="134C1A56">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bookmarkStart w:id="98" w:name="_Toc425250480"/>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.1经医院确诊及卫生防疫部门确认，因中标人的原因造成招标人人员在食堂就餐中毒，导致3人及以上接受治疗的；</w:t>
      </w:r>
      <w:bookmarkEnd w:id="98"/>
      <w:bookmarkStart w:id="99" w:name="_Toc425250481"/>
      <w:r>
        <w:rPr>
          <w:rFonts w:hint="eastAsia" w:ascii="宋体" w:hAnsi="宋体" w:eastAsia="宋体" w:cs="宋体"/>
          <w:color w:val="auto"/>
          <w:sz w:val="24"/>
          <w:szCs w:val="24"/>
          <w:highlight w:val="none"/>
        </w:rPr>
        <w:t>除赔偿相应的住院医疗费用外，中标人应支付招标人违约金</w:t>
      </w:r>
      <w:r>
        <w:rPr>
          <w:rFonts w:hint="eastAsia" w:ascii="宋体" w:hAnsi="宋体" w:eastAsia="宋体" w:cs="宋体"/>
          <w:b/>
          <w:bCs/>
          <w:color w:val="auto"/>
          <w:sz w:val="24"/>
          <w:szCs w:val="24"/>
          <w:highlight w:val="none"/>
          <w:u w:val="single"/>
        </w:rPr>
        <w:t>10000</w:t>
      </w:r>
      <w:r>
        <w:rPr>
          <w:rFonts w:hint="eastAsia" w:ascii="宋体" w:hAnsi="宋体" w:eastAsia="宋体" w:cs="宋体"/>
          <w:color w:val="auto"/>
          <w:sz w:val="24"/>
          <w:szCs w:val="24"/>
          <w:highlight w:val="none"/>
        </w:rPr>
        <w:t>元。</w:t>
      </w:r>
    </w:p>
    <w:bookmarkEnd w:id="99"/>
    <w:p w14:paraId="2872B8C2">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.2中标人所有工作人员</w:t>
      </w:r>
      <w:r>
        <w:rPr>
          <w:rFonts w:hint="eastAsia" w:ascii="宋体" w:hAnsi="宋体" w:eastAsia="宋体" w:cs="宋体"/>
          <w:color w:val="auto"/>
          <w:sz w:val="24"/>
          <w:szCs w:val="24"/>
          <w:highlight w:val="none"/>
          <w:lang w:eastAsia="zh-CN"/>
        </w:rPr>
        <w:t>（拟派人员与其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文件中的人员一致）</w:t>
      </w:r>
      <w:r>
        <w:rPr>
          <w:rFonts w:hint="eastAsia" w:ascii="宋体" w:hAnsi="宋体" w:eastAsia="宋体" w:cs="宋体"/>
          <w:color w:val="auto"/>
          <w:sz w:val="24"/>
          <w:szCs w:val="24"/>
          <w:highlight w:val="none"/>
        </w:rPr>
        <w:t>必须于合同签订后三日内到岗到位，如在合同履行过程中，发现人员数量不够，每少1人/天</w:t>
      </w:r>
      <w:r>
        <w:rPr>
          <w:rFonts w:hint="eastAsia" w:ascii="宋体" w:hAnsi="宋体" w:cs="宋体"/>
          <w:color w:val="auto"/>
          <w:sz w:val="24"/>
          <w:szCs w:val="24"/>
          <w:highlight w:val="none"/>
          <w:lang w:eastAsia="zh-CN"/>
        </w:rPr>
        <w:t>（不足一天的按一天计算）</w:t>
      </w:r>
      <w:r>
        <w:rPr>
          <w:rFonts w:hint="eastAsia" w:ascii="宋体" w:hAnsi="宋体" w:eastAsia="宋体" w:cs="宋体"/>
          <w:color w:val="auto"/>
          <w:sz w:val="24"/>
          <w:szCs w:val="24"/>
          <w:highlight w:val="none"/>
        </w:rPr>
        <w:t>的中标人应向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支付</w:t>
      </w:r>
      <w:r>
        <w:rPr>
          <w:rFonts w:hint="eastAsia" w:ascii="宋体" w:hAnsi="宋体" w:eastAsia="宋体" w:cs="宋体"/>
          <w:b/>
          <w:bCs/>
          <w:color w:val="auto"/>
          <w:sz w:val="24"/>
          <w:szCs w:val="24"/>
          <w:highlight w:val="none"/>
          <w:u w:val="single"/>
        </w:rPr>
        <w:t xml:space="preserve"> 500 </w:t>
      </w:r>
      <w:r>
        <w:rPr>
          <w:rFonts w:hint="eastAsia" w:ascii="宋体" w:hAnsi="宋体" w:eastAsia="宋体" w:cs="宋体"/>
          <w:color w:val="auto"/>
          <w:sz w:val="24"/>
          <w:szCs w:val="24"/>
          <w:highlight w:val="none"/>
        </w:rPr>
        <w:t>元违约金。如超过1个月人员仍无法到位或因人员缺岗导致</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职工用餐问题的，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有权单方面解除合同并不退还履约保证金。</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人为本项目配备的人员，若中标后与现场实际进场人员不相符，</w:t>
      </w:r>
      <w:r>
        <w:rPr>
          <w:rFonts w:hint="eastAsia" w:ascii="宋体" w:hAnsi="宋体" w:eastAsia="宋体" w:cs="宋体"/>
          <w:color w:val="auto"/>
          <w:sz w:val="24"/>
          <w:szCs w:val="24"/>
          <w:highlight w:val="none"/>
          <w:lang w:val="en-US" w:eastAsia="zh-CN"/>
        </w:rPr>
        <w:t>招标人有权</w:t>
      </w:r>
      <w:r>
        <w:rPr>
          <w:rFonts w:hint="eastAsia" w:ascii="宋体" w:hAnsi="宋体" w:eastAsia="宋体" w:cs="宋体"/>
          <w:color w:val="auto"/>
          <w:sz w:val="24"/>
          <w:szCs w:val="24"/>
          <w:highlight w:val="none"/>
        </w:rPr>
        <w:t>单方面解除合同并不退还履约保证金。</w:t>
      </w:r>
      <w:r>
        <w:rPr>
          <w:rFonts w:hint="eastAsia" w:ascii="宋体" w:hAnsi="宋体" w:eastAsia="宋体" w:cs="宋体"/>
          <w:color w:val="auto"/>
          <w:sz w:val="24"/>
          <w:szCs w:val="24"/>
          <w:highlight w:val="none"/>
          <w:lang w:val="en-US" w:eastAsia="zh-CN"/>
        </w:rPr>
        <w:t>若有</w:t>
      </w:r>
      <w:r>
        <w:rPr>
          <w:rFonts w:hint="eastAsia" w:ascii="宋体" w:hAnsi="宋体" w:eastAsia="宋体" w:cs="宋体"/>
          <w:color w:val="auto"/>
          <w:sz w:val="24"/>
          <w:szCs w:val="24"/>
          <w:highlight w:val="none"/>
        </w:rPr>
        <w:t>替换的人员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须以书面形式报给招标人，且替换的人员要求不得低于原有人员，经招标人同意后，方可替换，替换人员</w:t>
      </w:r>
      <w:r>
        <w:rPr>
          <w:rFonts w:hint="eastAsia" w:ascii="宋体" w:hAnsi="宋体" w:eastAsia="宋体" w:cs="宋体"/>
          <w:color w:val="auto"/>
          <w:sz w:val="24"/>
          <w:szCs w:val="24"/>
          <w:highlight w:val="none"/>
        </w:rPr>
        <w:t>也应</w:t>
      </w:r>
      <w:r>
        <w:rPr>
          <w:rFonts w:hint="eastAsia" w:ascii="宋体" w:hAnsi="宋体" w:eastAsia="宋体" w:cs="宋体"/>
          <w:color w:val="auto"/>
          <w:sz w:val="24"/>
          <w:szCs w:val="24"/>
          <w:highlight w:val="none"/>
          <w:lang w:val="en-US" w:eastAsia="zh-CN"/>
        </w:rPr>
        <w:t>按招标文件的</w:t>
      </w:r>
      <w:r>
        <w:rPr>
          <w:rFonts w:hint="eastAsia" w:ascii="宋体" w:hAnsi="宋体" w:eastAsia="宋体" w:cs="宋体"/>
          <w:color w:val="auto"/>
          <w:sz w:val="24"/>
          <w:szCs w:val="24"/>
          <w:highlight w:val="none"/>
        </w:rPr>
        <w:t>规定执行。</w:t>
      </w:r>
    </w:p>
    <w:p w14:paraId="0C4CDA8A">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.3中标人所有工作人员必须按照国家规定的餐饮服务业卫生标准，统一着装，佩戴围裙、一次性</w:t>
      </w:r>
      <w:r>
        <w:rPr>
          <w:rFonts w:hint="eastAsia" w:ascii="宋体" w:hAnsi="宋体" w:eastAsia="宋体" w:cs="宋体"/>
          <w:color w:val="auto"/>
          <w:sz w:val="24"/>
          <w:szCs w:val="24"/>
          <w:highlight w:val="none"/>
        </w:rPr>
        <w:t>手套、口罩、帽子等，如发现1次</w:t>
      </w:r>
      <w:r>
        <w:rPr>
          <w:rFonts w:hint="eastAsia" w:ascii="宋体" w:hAnsi="宋体" w:eastAsia="宋体" w:cs="宋体"/>
          <w:color w:val="auto"/>
          <w:sz w:val="24"/>
          <w:szCs w:val="24"/>
          <w:highlight w:val="none"/>
          <w:lang w:val="en-US" w:eastAsia="zh-CN"/>
        </w:rPr>
        <w:t>违规行为</w:t>
      </w:r>
      <w:r>
        <w:rPr>
          <w:rFonts w:hint="eastAsia" w:ascii="宋体" w:hAnsi="宋体" w:eastAsia="宋体" w:cs="宋体"/>
          <w:color w:val="auto"/>
          <w:sz w:val="24"/>
          <w:szCs w:val="24"/>
          <w:highlight w:val="none"/>
        </w:rPr>
        <w:t>，招标人口头批评并要求中标人整改，如中标人接到整改通知一周后仍不整改或整改了但仍达不到要求的，每次按</w:t>
      </w:r>
      <w:r>
        <w:rPr>
          <w:rFonts w:hint="eastAsia" w:ascii="宋体" w:hAnsi="宋体" w:eastAsia="宋体" w:cs="宋体"/>
          <w:b/>
          <w:bCs/>
          <w:color w:val="auto"/>
          <w:sz w:val="24"/>
          <w:szCs w:val="24"/>
          <w:highlight w:val="none"/>
          <w:u w:val="single"/>
        </w:rPr>
        <w:t>500</w:t>
      </w:r>
      <w:r>
        <w:rPr>
          <w:rFonts w:hint="eastAsia" w:ascii="宋体" w:hAnsi="宋体" w:eastAsia="宋体" w:cs="宋体"/>
          <w:color w:val="auto"/>
          <w:sz w:val="24"/>
          <w:szCs w:val="24"/>
          <w:highlight w:val="none"/>
        </w:rPr>
        <w:t>元支付违约金。</w:t>
      </w:r>
    </w:p>
    <w:p w14:paraId="6979D4AC">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.4未经招标人同意擅自停工导致职工食堂伙食无法正常供应的，中标人须支付招标人违约金</w:t>
      </w:r>
      <w:r>
        <w:rPr>
          <w:rFonts w:hint="eastAsia" w:ascii="宋体" w:hAnsi="宋体" w:eastAsia="宋体" w:cs="宋体"/>
          <w:b/>
          <w:bCs/>
          <w:color w:val="auto"/>
          <w:sz w:val="24"/>
          <w:szCs w:val="24"/>
          <w:highlight w:val="none"/>
          <w:u w:val="single"/>
        </w:rPr>
        <w:t>15000</w:t>
      </w:r>
      <w:r>
        <w:rPr>
          <w:rFonts w:hint="eastAsia" w:ascii="宋体" w:hAnsi="宋体" w:eastAsia="宋体" w:cs="宋体"/>
          <w:color w:val="auto"/>
          <w:sz w:val="24"/>
          <w:szCs w:val="24"/>
          <w:highlight w:val="none"/>
        </w:rPr>
        <w:t>元，违约金直接从当月服务费中扣除。如因中标人原因导致合同无法继续履行的，招标人有权不予退还履约保证金。</w:t>
      </w:r>
    </w:p>
    <w:p w14:paraId="5F423E43">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.5服务期结束时中标人要保证招标人提供给中标人使用的所有设备和设施完好无损。如有缺损，中标人须承担经济赔偿。</w:t>
      </w:r>
    </w:p>
    <w:p w14:paraId="1EF85D4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.6除上述违约条款外，中标人发生其他违反采购文件以及本项目所签订的合同条款的，视为中标人违约，每违约一次，中标人须支付</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1000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元的违约金。</w:t>
      </w:r>
    </w:p>
    <w:p w14:paraId="3E00F2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.7 </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管理人员每天负责对劳务外包人员服务情况进行考核，主要考核内容包括人员到岗情况、人员着装情况、持证上岗情况、服从管理情况、制订菜谱及合理开支情况、饭菜品种质量情况、工作区卫生情况和就餐人员投诉情况等，考核中每发现</w:t>
      </w:r>
      <w:r>
        <w:rPr>
          <w:rFonts w:hint="eastAsia" w:ascii="宋体" w:hAnsi="宋体" w:eastAsia="宋体" w:cs="宋体"/>
          <w:color w:val="auto"/>
          <w:sz w:val="24"/>
          <w:szCs w:val="24"/>
          <w:highlight w:val="none"/>
          <w:lang w:eastAsia="zh-CN"/>
        </w:rPr>
        <w:t>有本条款中任意一种情况的，一次</w:t>
      </w:r>
      <w:r>
        <w:rPr>
          <w:rFonts w:hint="eastAsia" w:ascii="宋体" w:hAnsi="宋体" w:eastAsia="宋体" w:cs="宋体"/>
          <w:color w:val="auto"/>
          <w:sz w:val="24"/>
          <w:szCs w:val="24"/>
          <w:highlight w:val="none"/>
        </w:rPr>
        <w:t>不合格</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处罚扣款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100</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元。</w:t>
      </w:r>
    </w:p>
    <w:p w14:paraId="0247DDC5">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8合同履行期间如发生安全卫生事故或相关部门检查不合格，中标人须承担因此引起的一切经济和法律责任，发生较大安全和卫生事故的，招标人有权终止合同，中标人自行承担经济损失。</w:t>
      </w:r>
    </w:p>
    <w:p w14:paraId="52138E7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2" w:firstLineChars="200"/>
        <w:jc w:val="left"/>
        <w:textAlignment w:val="auto"/>
        <w:rPr>
          <w:rFonts w:hint="eastAsia" w:ascii="宋体" w:hAnsi="宋体" w:eastAsia="宋体" w:cs="宋体"/>
          <w:b/>
          <w:color w:val="auto"/>
          <w:kern w:val="0"/>
          <w:sz w:val="24"/>
          <w:szCs w:val="24"/>
          <w:highlight w:val="none"/>
          <w:lang w:val="zh-TW" w:eastAsia="zh-CN" w:bidi="ar-SA"/>
        </w:rPr>
      </w:pPr>
      <w:r>
        <w:rPr>
          <w:rFonts w:hint="eastAsia" w:ascii="宋体" w:hAnsi="宋体" w:eastAsia="宋体" w:cs="宋体"/>
          <w:b/>
          <w:color w:val="auto"/>
          <w:kern w:val="0"/>
          <w:sz w:val="24"/>
          <w:szCs w:val="24"/>
          <w:highlight w:val="none"/>
          <w:lang w:val="en-US" w:eastAsia="zh-CN" w:bidi="ar-SA"/>
        </w:rPr>
        <w:t>8.</w:t>
      </w:r>
      <w:r>
        <w:rPr>
          <w:rFonts w:hint="eastAsia" w:ascii="宋体" w:hAnsi="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val="zh-TW" w:eastAsia="zh-CN" w:bidi="ar-SA"/>
        </w:rPr>
        <w:t>诉讼相关费用承担</w:t>
      </w:r>
    </w:p>
    <w:p w14:paraId="71CC426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TW" w:eastAsia="zh-CN" w:bidi="ar-SA"/>
        </w:rPr>
        <w:t>若因</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未履行本</w:t>
      </w:r>
      <w:r>
        <w:rPr>
          <w:rFonts w:hint="eastAsia" w:ascii="宋体" w:hAnsi="宋体" w:eastAsia="宋体" w:cs="宋体"/>
          <w:color w:val="auto"/>
          <w:kern w:val="0"/>
          <w:sz w:val="24"/>
          <w:szCs w:val="24"/>
          <w:highlight w:val="none"/>
          <w:lang w:val="en-US" w:eastAsia="zh-CN" w:bidi="ar-SA"/>
        </w:rPr>
        <w:t>项目</w:t>
      </w:r>
      <w:r>
        <w:rPr>
          <w:rFonts w:hint="eastAsia" w:ascii="宋体" w:hAnsi="宋体" w:eastAsia="宋体" w:cs="宋体"/>
          <w:color w:val="auto"/>
          <w:kern w:val="0"/>
          <w:sz w:val="24"/>
          <w:szCs w:val="24"/>
          <w:highlight w:val="none"/>
          <w:lang w:val="zh-TW" w:eastAsia="zh-CN" w:bidi="ar-SA"/>
        </w:rPr>
        <w:t>合同项下义务导致</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所产生的一切损失（包括但不限于人身财产的损失、律师费、诉讼费、保全费、鉴定费等），均由</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承担违约和赔偿责任。</w:t>
      </w:r>
    </w:p>
    <w:p w14:paraId="7F09AA02">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8.</w:t>
      </w:r>
      <w:r>
        <w:rPr>
          <w:rFonts w:hint="eastAsia" w:ascii="宋体" w:hAnsi="宋体" w:cs="宋体"/>
          <w:b/>
          <w:color w:val="auto"/>
          <w:sz w:val="24"/>
          <w:szCs w:val="24"/>
          <w:highlight w:val="none"/>
          <w:lang w:val="en-US" w:eastAsia="zh-CN"/>
        </w:rPr>
        <w:t>6</w:t>
      </w:r>
      <w:r>
        <w:rPr>
          <w:rFonts w:hint="eastAsia" w:ascii="宋体" w:hAnsi="宋体" w:eastAsia="宋体" w:cs="宋体"/>
          <w:b/>
          <w:bCs/>
          <w:color w:val="auto"/>
          <w:sz w:val="24"/>
          <w:szCs w:val="24"/>
          <w:highlight w:val="none"/>
        </w:rPr>
        <w:t>违约金直接从应付的服务费用中扣除</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不足的由中标人另行支付</w:t>
      </w:r>
      <w:r>
        <w:rPr>
          <w:rFonts w:hint="eastAsia" w:ascii="宋体" w:hAnsi="宋体" w:eastAsia="宋体" w:cs="宋体"/>
          <w:b/>
          <w:bCs/>
          <w:color w:val="auto"/>
          <w:sz w:val="24"/>
          <w:szCs w:val="24"/>
          <w:highlight w:val="none"/>
        </w:rPr>
        <w:t>。</w:t>
      </w:r>
    </w:p>
    <w:p w14:paraId="42B6E7A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2" w:firstLineChars="200"/>
        <w:jc w:val="left"/>
        <w:textAlignment w:val="auto"/>
        <w:outlineLvl w:val="1"/>
        <w:rPr>
          <w:rFonts w:hint="eastAsia" w:ascii="宋体" w:hAnsi="宋体" w:eastAsia="宋体" w:cs="宋体"/>
          <w:b/>
          <w:color w:val="auto"/>
          <w:kern w:val="0"/>
          <w:sz w:val="24"/>
          <w:szCs w:val="24"/>
          <w:highlight w:val="none"/>
          <w:lang w:val="zh-TW" w:eastAsia="zh-CN" w:bidi="ar-SA"/>
        </w:rPr>
      </w:pPr>
      <w:bookmarkStart w:id="100" w:name="_Toc7670"/>
      <w:bookmarkStart w:id="101" w:name="_Toc22847"/>
      <w:r>
        <w:rPr>
          <w:rFonts w:hint="eastAsia" w:ascii="宋体" w:hAnsi="宋体" w:eastAsia="宋体" w:cs="宋体"/>
          <w:b/>
          <w:color w:val="auto"/>
          <w:kern w:val="0"/>
          <w:sz w:val="24"/>
          <w:szCs w:val="24"/>
          <w:highlight w:val="none"/>
          <w:lang w:val="en-US" w:eastAsia="zh-CN" w:bidi="ar-SA"/>
        </w:rPr>
        <w:t>9、</w:t>
      </w:r>
      <w:r>
        <w:rPr>
          <w:rFonts w:hint="eastAsia" w:ascii="宋体" w:hAnsi="宋体" w:eastAsia="宋体" w:cs="宋体"/>
          <w:b/>
          <w:color w:val="auto"/>
          <w:kern w:val="0"/>
          <w:sz w:val="24"/>
          <w:szCs w:val="24"/>
          <w:highlight w:val="none"/>
          <w:lang w:val="zh-TW" w:eastAsia="zh-CN" w:bidi="ar-SA"/>
        </w:rPr>
        <w:t>违约终止</w:t>
      </w:r>
      <w:bookmarkEnd w:id="100"/>
      <w:r>
        <w:rPr>
          <w:rFonts w:hint="eastAsia" w:ascii="宋体" w:hAnsi="宋体" w:eastAsia="宋体" w:cs="宋体"/>
          <w:b/>
          <w:color w:val="auto"/>
          <w:kern w:val="0"/>
          <w:sz w:val="24"/>
          <w:szCs w:val="24"/>
          <w:highlight w:val="none"/>
          <w:lang w:val="en-US" w:eastAsia="zh-CN" w:bidi="ar-SA"/>
        </w:rPr>
        <w:t>合同</w:t>
      </w:r>
      <w:bookmarkEnd w:id="101"/>
    </w:p>
    <w:p w14:paraId="04C0558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9.1</w:t>
      </w:r>
      <w:r>
        <w:rPr>
          <w:rFonts w:hint="eastAsia" w:ascii="宋体" w:hAnsi="宋体" w:eastAsia="宋体" w:cs="宋体"/>
          <w:color w:val="auto"/>
          <w:kern w:val="0"/>
          <w:sz w:val="24"/>
          <w:szCs w:val="24"/>
          <w:highlight w:val="none"/>
          <w:lang w:val="zh-TW" w:eastAsia="zh-CN" w:bidi="ar-SA"/>
        </w:rPr>
        <w:t>在合同履行期间，若遇政府部门或上级单位出台有关该项目的政策调整，继续履行合同违反相关政策文件要求的，</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须提</w:t>
      </w:r>
      <w:r>
        <w:rPr>
          <w:rFonts w:hint="eastAsia" w:ascii="宋体" w:hAnsi="宋体" w:eastAsia="宋体" w:cs="宋体"/>
          <w:b w:val="0"/>
          <w:bCs w:val="0"/>
          <w:color w:val="auto"/>
          <w:kern w:val="0"/>
          <w:sz w:val="24"/>
          <w:szCs w:val="24"/>
          <w:highlight w:val="none"/>
          <w:u w:val="none"/>
          <w:lang w:val="zh-TW" w:eastAsia="zh-CN" w:bidi="ar-SA"/>
        </w:rPr>
        <w:t>前</w:t>
      </w:r>
      <w:r>
        <w:rPr>
          <w:rFonts w:hint="eastAsia" w:ascii="宋体" w:hAnsi="宋体" w:eastAsia="宋体" w:cs="宋体"/>
          <w:b/>
          <w:bCs/>
          <w:color w:val="auto"/>
          <w:kern w:val="0"/>
          <w:sz w:val="24"/>
          <w:szCs w:val="24"/>
          <w:highlight w:val="none"/>
          <w:u w:val="single"/>
          <w:lang w:val="en-US" w:eastAsia="zh-CN" w:bidi="ar-SA"/>
        </w:rPr>
        <w:t>30</w:t>
      </w:r>
      <w:r>
        <w:rPr>
          <w:rFonts w:hint="eastAsia" w:ascii="宋体" w:hAnsi="宋体" w:eastAsia="宋体" w:cs="宋体"/>
          <w:color w:val="auto"/>
          <w:kern w:val="0"/>
          <w:sz w:val="24"/>
          <w:szCs w:val="24"/>
          <w:highlight w:val="none"/>
          <w:lang w:val="zh-TW" w:eastAsia="zh-CN" w:bidi="ar-SA"/>
        </w:rPr>
        <w:t>日通知</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终止合同，因此造成的合同解除</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不承担违约责任。</w:t>
      </w:r>
    </w:p>
    <w:p w14:paraId="077FC3EB">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9.2</w:t>
      </w:r>
      <w:r>
        <w:rPr>
          <w:rFonts w:hint="eastAsia" w:ascii="宋体" w:hAnsi="宋体" w:eastAsia="宋体" w:cs="宋体"/>
          <w:color w:val="auto"/>
          <w:kern w:val="0"/>
          <w:sz w:val="24"/>
          <w:szCs w:val="24"/>
          <w:highlight w:val="none"/>
          <w:lang w:val="zh-TW" w:eastAsia="zh-CN" w:bidi="ar-SA"/>
        </w:rPr>
        <w:t>在补救违约而采取的任何其他措施未能实现的情况下，即在</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发出的书面违约通知后</w:t>
      </w:r>
      <w:r>
        <w:rPr>
          <w:rFonts w:hint="eastAsia" w:ascii="宋体" w:hAnsi="宋体" w:eastAsia="宋体" w:cs="宋体"/>
          <w:b/>
          <w:bCs/>
          <w:color w:val="auto"/>
          <w:kern w:val="0"/>
          <w:sz w:val="24"/>
          <w:szCs w:val="24"/>
          <w:highlight w:val="none"/>
          <w:u w:val="single"/>
          <w:lang w:val="zh-TW" w:eastAsia="zh-CN" w:bidi="ar-SA"/>
        </w:rPr>
        <w:t>30</w:t>
      </w:r>
      <w:r>
        <w:rPr>
          <w:rFonts w:hint="eastAsia" w:ascii="宋体" w:hAnsi="宋体" w:eastAsia="宋体" w:cs="宋体"/>
          <w:color w:val="auto"/>
          <w:kern w:val="0"/>
          <w:sz w:val="24"/>
          <w:szCs w:val="24"/>
          <w:highlight w:val="none"/>
          <w:lang w:val="zh-TW" w:eastAsia="zh-CN" w:bidi="ar-SA"/>
        </w:rPr>
        <w:t>天内（或经</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书面确认的更长时间内）</w:t>
      </w:r>
      <w:r>
        <w:rPr>
          <w:rFonts w:hint="eastAsia" w:ascii="宋体" w:hAnsi="宋体" w:eastAsia="宋体" w:cs="宋体"/>
          <w:color w:val="auto"/>
          <w:kern w:val="0"/>
          <w:sz w:val="24"/>
          <w:szCs w:val="24"/>
          <w:highlight w:val="none"/>
          <w:lang w:val="en-US" w:eastAsia="zh-CN" w:bidi="ar-SA"/>
        </w:rPr>
        <w:t>中标人</w:t>
      </w:r>
      <w:r>
        <w:rPr>
          <w:rFonts w:hint="eastAsia" w:ascii="宋体" w:hAnsi="宋体" w:eastAsia="宋体" w:cs="宋体"/>
          <w:color w:val="auto"/>
          <w:kern w:val="0"/>
          <w:sz w:val="24"/>
          <w:szCs w:val="24"/>
          <w:highlight w:val="none"/>
          <w:lang w:val="zh-TW" w:eastAsia="zh-CN" w:bidi="ar-SA"/>
        </w:rPr>
        <w:t>仍未纠正其下述任何一种违约行为，</w:t>
      </w:r>
      <w:r>
        <w:rPr>
          <w:rFonts w:hint="eastAsia" w:ascii="宋体" w:hAnsi="宋体" w:eastAsia="宋体" w:cs="宋体"/>
          <w:color w:val="auto"/>
          <w:kern w:val="0"/>
          <w:sz w:val="24"/>
          <w:szCs w:val="24"/>
          <w:highlight w:val="none"/>
          <w:lang w:val="en-US" w:eastAsia="zh-CN" w:bidi="ar-SA"/>
        </w:rPr>
        <w:t>招标人</w:t>
      </w:r>
      <w:r>
        <w:rPr>
          <w:rFonts w:hint="eastAsia" w:ascii="宋体" w:hAnsi="宋体" w:eastAsia="宋体" w:cs="宋体"/>
          <w:color w:val="auto"/>
          <w:kern w:val="0"/>
          <w:sz w:val="24"/>
          <w:szCs w:val="24"/>
          <w:highlight w:val="none"/>
          <w:lang w:val="zh-TW" w:eastAsia="zh-CN" w:bidi="ar-SA"/>
        </w:rPr>
        <w:t>可向</w:t>
      </w:r>
      <w:r>
        <w:rPr>
          <w:rFonts w:hint="eastAsia" w:ascii="宋体" w:hAnsi="宋体" w:eastAsia="宋体" w:cs="宋体"/>
          <w:color w:val="auto"/>
          <w:kern w:val="0"/>
          <w:sz w:val="24"/>
          <w:szCs w:val="24"/>
          <w:highlight w:val="none"/>
          <w:lang w:val="en-US" w:eastAsia="zh-CN" w:bidi="ar-SA"/>
        </w:rPr>
        <w:t>中标方</w:t>
      </w:r>
      <w:r>
        <w:rPr>
          <w:rFonts w:hint="eastAsia" w:ascii="宋体" w:hAnsi="宋体" w:eastAsia="宋体" w:cs="宋体"/>
          <w:color w:val="auto"/>
          <w:kern w:val="0"/>
          <w:sz w:val="24"/>
          <w:szCs w:val="24"/>
          <w:highlight w:val="none"/>
          <w:lang w:val="zh-TW" w:eastAsia="zh-CN" w:bidi="ar-SA"/>
        </w:rPr>
        <w:t>发出书面解约通知，终止全部或部分协议：</w:t>
      </w:r>
    </w:p>
    <w:p w14:paraId="0AA65EB8">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9.2.1</w:t>
      </w:r>
      <w:r>
        <w:rPr>
          <w:rFonts w:hint="eastAsia" w:ascii="宋体" w:hAnsi="宋体" w:eastAsia="宋体" w:cs="宋体"/>
          <w:color w:val="auto"/>
          <w:kern w:val="0"/>
          <w:sz w:val="24"/>
          <w:szCs w:val="24"/>
          <w:highlight w:val="none"/>
          <w:lang w:val="zh-TW" w:eastAsia="zh-CN" w:bidi="ar-SA"/>
        </w:rPr>
        <w:t>中标人未能在协议约定的期限内或招标人准许的任何延期内进行服务。</w:t>
      </w:r>
    </w:p>
    <w:p w14:paraId="35930315">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right="-211" w:firstLine="480" w:firstLineChars="200"/>
        <w:jc w:val="left"/>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eastAsia="宋体" w:cs="宋体"/>
          <w:color w:val="auto"/>
          <w:kern w:val="0"/>
          <w:sz w:val="24"/>
          <w:szCs w:val="24"/>
          <w:highlight w:val="none"/>
          <w:lang w:val="en-US" w:eastAsia="zh-CN" w:bidi="ar-SA"/>
        </w:rPr>
        <w:t>9.2.2</w:t>
      </w:r>
      <w:r>
        <w:rPr>
          <w:rFonts w:hint="eastAsia" w:ascii="宋体" w:hAnsi="宋体" w:eastAsia="宋体" w:cs="宋体"/>
          <w:color w:val="auto"/>
          <w:kern w:val="0"/>
          <w:sz w:val="24"/>
          <w:szCs w:val="24"/>
          <w:highlight w:val="none"/>
          <w:lang w:val="zh-TW" w:eastAsia="zh-CN" w:bidi="ar-SA"/>
        </w:rPr>
        <w:t>中标人未能履行协议项下的任何其它义务。</w:t>
      </w:r>
    </w:p>
    <w:p w14:paraId="091772E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rPr>
        <w:t>、不可抗力</w:t>
      </w:r>
    </w:p>
    <w:p w14:paraId="64984E6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因不可抗力造成违约的，遭受不可抗力一方应及时向对方通报不能履行或不能完全履行的理由，并在随后取得有关主管机关证明后的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15日  </w:t>
      </w:r>
      <w:r>
        <w:rPr>
          <w:rFonts w:hint="eastAsia" w:ascii="宋体" w:hAnsi="宋体" w:eastAsia="宋体" w:cs="宋体"/>
          <w:color w:val="auto"/>
          <w:sz w:val="24"/>
          <w:szCs w:val="24"/>
          <w:highlight w:val="none"/>
        </w:rPr>
        <w:t>内向另一方提供不可抗力发生以及持续期间的充分证据。基于以上行为，允许遭受不可抗力一方延期履行、部分履行或者不履行合同，并根据情况可部分或全部免于承担违约责任。</w:t>
      </w:r>
    </w:p>
    <w:p w14:paraId="16D14C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shd w:val="clear" w:color="030000" w:fill="FFFFFF"/>
          <w:lang w:val="en-US" w:eastAsia="zh-CN"/>
        </w:rPr>
      </w:pPr>
      <w:r>
        <w:rPr>
          <w:rFonts w:hint="eastAsia" w:ascii="宋体" w:hAnsi="宋体" w:eastAsia="宋体" w:cs="宋体"/>
          <w:color w:val="auto"/>
          <w:sz w:val="24"/>
          <w:szCs w:val="24"/>
          <w:highlight w:val="none"/>
          <w:lang w:val="en-US" w:eastAsia="zh-CN"/>
        </w:rPr>
        <w:t>10.2</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合同中的不可抗力指不能预见、不能避免并不能克服的客观情况。包括但不限于：自然灾害如地震、台风、洪水、火灾；政府行为、法律规定或其适用的变化或者其他任何无法预见、避免或者控制的事件。</w:t>
      </w:r>
    </w:p>
    <w:p w14:paraId="6F954481">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bookmarkStart w:id="102" w:name="_Toc27110"/>
      <w:r>
        <w:rPr>
          <w:rFonts w:hint="eastAsia" w:ascii="宋体" w:hAnsi="宋体" w:eastAsia="宋体" w:cs="宋体"/>
          <w:b/>
          <w:color w:val="auto"/>
          <w:sz w:val="24"/>
          <w:szCs w:val="24"/>
          <w:highlight w:val="none"/>
          <w:lang w:val="en-US" w:eastAsia="zh-CN"/>
        </w:rPr>
        <w:t>11、</w:t>
      </w:r>
      <w:r>
        <w:rPr>
          <w:rFonts w:hint="eastAsia" w:ascii="宋体" w:hAnsi="宋体" w:eastAsia="宋体" w:cs="宋体"/>
          <w:b/>
          <w:color w:val="auto"/>
          <w:sz w:val="24"/>
          <w:szCs w:val="24"/>
          <w:highlight w:val="none"/>
        </w:rPr>
        <w:t>专利权及知识产权</w:t>
      </w:r>
    </w:p>
    <w:p w14:paraId="6ADB481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中标人须保障</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在使用该货物或其任何一部分时不受到第三方关于侵犯专利权、商标权或工业设计权等知识产权的指控。如果任何第三方提出侵权指控与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无关，中标人须与第三方交涉并承担可能发生的责任与一切费用。如</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因此而遭致损失的，中标人应赔偿该损失。</w:t>
      </w:r>
    </w:p>
    <w:p w14:paraId="6C2F8DD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outlineLvl w:val="1"/>
        <w:rPr>
          <w:rFonts w:hint="eastAsia" w:ascii="宋体" w:hAnsi="宋体" w:eastAsia="宋体" w:cs="宋体"/>
          <w:color w:val="auto"/>
          <w:kern w:val="0"/>
          <w:sz w:val="24"/>
          <w:szCs w:val="24"/>
          <w:highlight w:val="none"/>
        </w:rPr>
      </w:pPr>
      <w:bookmarkStart w:id="103" w:name="_Toc32444"/>
      <w:bookmarkStart w:id="104" w:name="_Toc5118"/>
      <w:r>
        <w:rPr>
          <w:rFonts w:hint="eastAsia" w:ascii="宋体" w:hAnsi="宋体" w:eastAsia="宋体" w:cs="宋体"/>
          <w:b/>
          <w:bCs/>
          <w:color w:val="auto"/>
          <w:kern w:val="0"/>
          <w:sz w:val="24"/>
          <w:szCs w:val="24"/>
          <w:highlight w:val="none"/>
          <w:shd w:val="clear" w:color="auto" w:fill="FFFFFF"/>
          <w:lang w:val="en-US" w:eastAsia="zh-CN"/>
        </w:rPr>
        <w:t>12、</w:t>
      </w:r>
      <w:r>
        <w:rPr>
          <w:rFonts w:hint="eastAsia" w:ascii="宋体" w:hAnsi="宋体" w:eastAsia="宋体" w:cs="宋体"/>
          <w:b/>
          <w:bCs/>
          <w:color w:val="auto"/>
          <w:kern w:val="0"/>
          <w:sz w:val="24"/>
          <w:szCs w:val="24"/>
          <w:highlight w:val="none"/>
        </w:rPr>
        <w:t>保密条款</w:t>
      </w:r>
      <w:bookmarkEnd w:id="103"/>
      <w:bookmarkEnd w:id="104"/>
    </w:p>
    <w:p w14:paraId="69CC5C8A">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12.1中标人应当对本项目合同的内容、因履行本项目合同或在本项目合同期间知悉的或收到的招标人的财务、技术、产品信息、民警资料或其他工作上的文件资料、工作内容等予以保密，不得向本项目合同以外的任何第三方披露，签订并严格执行《单位保密承诺书》；中标人进入招标人工作区域的工作人员需签订《个人保密承诺书》，严格履行保密义务。</w:t>
      </w:r>
    </w:p>
    <w:p w14:paraId="3F59D540">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12.2中标人违反本条约定泄露招标人的涉密信息的，应承担相应的法律责任，造成招标人损失的，中标人应当依法承担赔偿责任。</w:t>
      </w:r>
    </w:p>
    <w:p w14:paraId="1D7CC3FC">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12.3本条款不因合同届满或解除而失效。</w:t>
      </w:r>
    </w:p>
    <w:p w14:paraId="4003F2C3">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2" w:firstLineChars="200"/>
        <w:jc w:val="left"/>
        <w:textAlignment w:val="auto"/>
        <w:rPr>
          <w:rFonts w:hint="eastAsia" w:ascii="宋体" w:hAnsi="宋体" w:eastAsia="宋体" w:cs="宋体"/>
          <w:b/>
          <w:bCs/>
          <w:color w:val="auto"/>
          <w:kern w:val="0"/>
          <w:sz w:val="24"/>
          <w:szCs w:val="24"/>
          <w:highlight w:val="none"/>
          <w:shd w:val="clear" w:color="030000" w:fill="FFFFFF"/>
          <w:lang w:val="en-US" w:eastAsia="zh-CN" w:bidi="ar-SA"/>
        </w:rPr>
      </w:pPr>
      <w:r>
        <w:rPr>
          <w:rFonts w:hint="eastAsia" w:ascii="宋体" w:hAnsi="宋体" w:eastAsia="宋体" w:cs="宋体"/>
          <w:b/>
          <w:bCs/>
          <w:color w:val="auto"/>
          <w:kern w:val="0"/>
          <w:sz w:val="24"/>
          <w:szCs w:val="24"/>
          <w:highlight w:val="none"/>
          <w:lang w:val="en-US" w:eastAsia="zh-CN" w:bidi="ar-SA"/>
        </w:rPr>
        <w:t>13、</w:t>
      </w:r>
      <w:r>
        <w:rPr>
          <w:rFonts w:hint="eastAsia" w:ascii="宋体" w:hAnsi="宋体" w:eastAsia="宋体" w:cs="宋体"/>
          <w:b/>
          <w:bCs/>
          <w:color w:val="auto"/>
          <w:kern w:val="0"/>
          <w:sz w:val="24"/>
          <w:szCs w:val="24"/>
          <w:highlight w:val="none"/>
          <w:shd w:val="clear" w:color="030000" w:fill="FFFFFF"/>
          <w:lang w:val="en-US" w:eastAsia="zh-CN" w:bidi="ar-SA"/>
        </w:rPr>
        <w:t>廉政条款</w:t>
      </w:r>
    </w:p>
    <w:p w14:paraId="35AD99EE">
      <w:pPr>
        <w:keepNext w:val="0"/>
        <w:keepLines w:val="0"/>
        <w:pageBreakBefore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中标人及其工作人员不得有以任何形式行贿</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工作人员的行为，若发现并被核查属实的，</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有权解除合同且不退还履约保证金，情节严重的，中标人及其工作人员还要承担相应的法律责任；</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及其工作人员不得索要或接受中标人的礼金及吃请等，如有违反廉政纪律等行为的，依据有关规定给予党纪、政纪或组织处理，情节严重的，还应承担相应的法律责任。</w:t>
      </w:r>
    </w:p>
    <w:bookmarkEnd w:id="102"/>
    <w:p w14:paraId="3FF4FFDD">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、合同纠纷处理方式</w:t>
      </w:r>
    </w:p>
    <w:p w14:paraId="369DBD5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.1合同争议处理方式</w:t>
      </w:r>
    </w:p>
    <w:p w14:paraId="58CCAB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双方必须认真履行合同条款。因本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合同或与本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合同有关的一切事项发生争议，由双方友好协商解决，协商不成的，任何一方均可向</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所在地人民法院提起诉讼。</w:t>
      </w:r>
    </w:p>
    <w:p w14:paraId="67DF8D1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.2合同补充和修改</w:t>
      </w:r>
    </w:p>
    <w:p w14:paraId="4A6861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本合同生效后，双方对合同内容的变更或补充应采取书面形式，并经双方签字并盖章确认。</w:t>
      </w:r>
    </w:p>
    <w:p w14:paraId="1F88B6BA">
      <w:pPr>
        <w:keepNext w:val="0"/>
        <w:keepLines w:val="0"/>
        <w:pageBreakBefore w:val="0"/>
        <w:kinsoku/>
        <w:wordWrap/>
        <w:overflowPunct/>
        <w:topLinePunct w:val="0"/>
        <w:autoSpaceDE/>
        <w:autoSpaceDN/>
        <w:bidi w:val="0"/>
        <w:adjustRightInd/>
        <w:snapToGrid/>
        <w:spacing w:beforeAutospacing="0" w:afterAutospacing="0" w:line="360" w:lineRule="auto"/>
        <w:ind w:firstLine="482" w:firstLineChars="200"/>
        <w:textAlignment w:val="auto"/>
        <w:outlineLvl w:val="1"/>
        <w:rPr>
          <w:rFonts w:hint="eastAsia" w:ascii="宋体" w:hAnsi="宋体" w:eastAsia="宋体" w:cs="宋体"/>
          <w:b/>
          <w:bCs/>
          <w:color w:val="auto"/>
          <w:sz w:val="24"/>
          <w:szCs w:val="24"/>
          <w:highlight w:val="none"/>
        </w:rPr>
      </w:pPr>
      <w:bookmarkStart w:id="105" w:name="_Toc29411"/>
      <w:r>
        <w:rPr>
          <w:rFonts w:hint="eastAsia" w:ascii="宋体" w:hAnsi="宋体" w:eastAsia="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其他约定</w:t>
      </w:r>
      <w:bookmarkEnd w:id="105"/>
    </w:p>
    <w:p w14:paraId="5DBF8508">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15.1</w:t>
      </w:r>
      <w:r>
        <w:rPr>
          <w:rFonts w:hint="eastAsia" w:ascii="宋体" w:hAnsi="宋体" w:eastAsia="宋体" w:cs="宋体"/>
          <w:color w:val="auto"/>
          <w:sz w:val="24"/>
          <w:szCs w:val="24"/>
          <w:highlight w:val="none"/>
        </w:rPr>
        <w:t>中标人不得将食堂劳务服务转承包或分包。</w:t>
      </w:r>
    </w:p>
    <w:p w14:paraId="7CABCA34">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15.2</w:t>
      </w:r>
      <w:r>
        <w:rPr>
          <w:rFonts w:hint="eastAsia" w:ascii="宋体" w:hAnsi="宋体" w:eastAsia="宋体" w:cs="宋体"/>
          <w:color w:val="auto"/>
          <w:sz w:val="24"/>
          <w:szCs w:val="24"/>
          <w:highlight w:val="none"/>
        </w:rPr>
        <w:t>中标人负责工作人员的安全教育工作，严格遵守国家的法律法规及招标人的管理规定，劳务人员不得与就餐人员发生争吵现象，如果发生纠纷要通过招标人管理人员协调解决。</w:t>
      </w:r>
    </w:p>
    <w:p w14:paraId="369450B9">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15.3</w:t>
      </w:r>
      <w:r>
        <w:rPr>
          <w:rFonts w:hint="eastAsia" w:ascii="宋体" w:hAnsi="宋体" w:eastAsia="宋体" w:cs="宋体"/>
          <w:color w:val="auto"/>
          <w:sz w:val="24"/>
          <w:szCs w:val="24"/>
          <w:highlight w:val="none"/>
        </w:rPr>
        <w:t>中标人主动接受招标人的监督检查，对投诉和所提出的建议问题限期整改纠正。</w:t>
      </w:r>
    </w:p>
    <w:p w14:paraId="082DA93D">
      <w:pPr>
        <w:keepNext w:val="0"/>
        <w:keepLines w:val="0"/>
        <w:pageBreakBefore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15.4</w:t>
      </w:r>
      <w:r>
        <w:rPr>
          <w:rFonts w:hint="eastAsia" w:ascii="宋体" w:hAnsi="宋体" w:eastAsia="宋体" w:cs="宋体"/>
          <w:color w:val="auto"/>
          <w:kern w:val="0"/>
          <w:sz w:val="24"/>
          <w:szCs w:val="24"/>
          <w:highlight w:val="none"/>
        </w:rPr>
        <w:t>为福建省宏达机械有限公司职工食堂提供物资配送服务的公司及其关联公司不得参与本项目投标</w:t>
      </w:r>
      <w:r>
        <w:rPr>
          <w:rFonts w:hint="eastAsia" w:ascii="宋体" w:hAnsi="宋体" w:eastAsia="宋体" w:cs="宋体"/>
          <w:color w:val="auto"/>
          <w:kern w:val="0"/>
          <w:sz w:val="24"/>
          <w:szCs w:val="24"/>
          <w:highlight w:val="none"/>
          <w:lang w:eastAsia="zh-CN"/>
        </w:rPr>
        <w:t>。</w:t>
      </w:r>
    </w:p>
    <w:p w14:paraId="5B597489">
      <w:pPr>
        <w:spacing w:line="240" w:lineRule="auto"/>
        <w:jc w:val="left"/>
        <w:rPr>
          <w:rFonts w:hint="eastAsia"/>
          <w:color w:val="auto"/>
          <w:lang w:val="en-US" w:eastAsia="zh-CN"/>
        </w:rPr>
      </w:pPr>
      <w:r>
        <w:rPr>
          <w:rFonts w:hint="eastAsia"/>
          <w:b/>
          <w:bCs/>
          <w:color w:val="auto"/>
          <w:sz w:val="24"/>
          <w:szCs w:val="32"/>
          <w:lang w:val="en-US" w:eastAsia="zh-CN"/>
        </w:rPr>
        <w:t>（四）其他事项</w:t>
      </w:r>
      <w:r>
        <w:rPr>
          <w:rFonts w:hint="eastAsia"/>
          <w:color w:val="auto"/>
          <w:lang w:val="en-US" w:eastAsia="zh-CN"/>
        </w:rPr>
        <w:br w:type="textWrapping"/>
      </w:r>
    </w:p>
    <w:p w14:paraId="2BAFADC2">
      <w:pPr>
        <w:spacing w:line="240" w:lineRule="auto"/>
        <w:jc w:val="both"/>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en-US" w:eastAsia="zh-CN"/>
        </w:rPr>
        <w:t>附件1</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eastAsia="zh-CN"/>
        </w:rPr>
        <w:t>职工食堂服务外包</w:t>
      </w:r>
      <w:r>
        <w:rPr>
          <w:rFonts w:hint="eastAsia" w:ascii="宋体" w:hAnsi="宋体" w:cs="宋体"/>
          <w:b/>
          <w:bCs/>
          <w:color w:val="auto"/>
          <w:sz w:val="32"/>
          <w:szCs w:val="32"/>
          <w:highlight w:val="none"/>
          <w:lang w:eastAsia="zh-CN"/>
        </w:rPr>
        <w:t>日</w:t>
      </w:r>
      <w:r>
        <w:rPr>
          <w:rFonts w:hint="eastAsia" w:ascii="宋体" w:hAnsi="宋体" w:eastAsia="宋体" w:cs="宋体"/>
          <w:b/>
          <w:bCs/>
          <w:color w:val="auto"/>
          <w:sz w:val="32"/>
          <w:szCs w:val="32"/>
          <w:highlight w:val="none"/>
          <w:lang w:eastAsia="zh-CN"/>
        </w:rPr>
        <w:t>考评汇总表</w:t>
      </w:r>
    </w:p>
    <w:p w14:paraId="35916CD9">
      <w:pPr>
        <w:spacing w:line="240" w:lineRule="auto"/>
        <w:jc w:val="righ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    月   日</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513"/>
        <w:gridCol w:w="2887"/>
        <w:gridCol w:w="1825"/>
        <w:gridCol w:w="2075"/>
        <w:gridCol w:w="1808"/>
      </w:tblGrid>
      <w:tr w14:paraId="1F461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14:paraId="0D1E7573">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名称</w:t>
            </w:r>
          </w:p>
        </w:tc>
        <w:tc>
          <w:tcPr>
            <w:tcW w:w="3400" w:type="dxa"/>
            <w:gridSpan w:val="2"/>
            <w:vMerge w:val="restart"/>
            <w:vAlign w:val="center"/>
          </w:tcPr>
          <w:p w14:paraId="3D1FD73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工作细项</w:t>
            </w:r>
          </w:p>
        </w:tc>
        <w:tc>
          <w:tcPr>
            <w:tcW w:w="5708" w:type="dxa"/>
            <w:gridSpan w:val="3"/>
            <w:vAlign w:val="center"/>
          </w:tcPr>
          <w:p w14:paraId="6517249D">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日</w:t>
            </w:r>
            <w:r>
              <w:rPr>
                <w:rFonts w:hint="eastAsia" w:ascii="宋体" w:hAnsi="宋体" w:eastAsia="宋体" w:cs="宋体"/>
                <w:b/>
                <w:bCs/>
                <w:color w:val="auto"/>
                <w:sz w:val="24"/>
                <w:szCs w:val="24"/>
                <w:highlight w:val="none"/>
                <w:vertAlign w:val="baseline"/>
                <w:lang w:val="en-US" w:eastAsia="zh-CN"/>
              </w:rPr>
              <w:t>考评结果</w:t>
            </w:r>
          </w:p>
        </w:tc>
      </w:tr>
      <w:tr w14:paraId="08BE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72" w:type="dxa"/>
            <w:vMerge w:val="continue"/>
            <w:vAlign w:val="center"/>
          </w:tcPr>
          <w:p w14:paraId="38E6F076">
            <w:pPr>
              <w:spacing w:line="240" w:lineRule="auto"/>
              <w:jc w:val="center"/>
              <w:rPr>
                <w:rFonts w:hint="eastAsia" w:ascii="宋体" w:hAnsi="宋体" w:eastAsia="宋体" w:cs="宋体"/>
                <w:b/>
                <w:bCs/>
                <w:color w:val="auto"/>
                <w:sz w:val="24"/>
                <w:szCs w:val="24"/>
                <w:highlight w:val="yellow"/>
                <w:vertAlign w:val="baseline"/>
                <w:lang w:val="en-US" w:eastAsia="zh-CN"/>
              </w:rPr>
            </w:pPr>
          </w:p>
        </w:tc>
        <w:tc>
          <w:tcPr>
            <w:tcW w:w="3400" w:type="dxa"/>
            <w:gridSpan w:val="2"/>
            <w:vMerge w:val="continue"/>
            <w:vAlign w:val="center"/>
          </w:tcPr>
          <w:p w14:paraId="2E61092D">
            <w:pPr>
              <w:spacing w:line="240" w:lineRule="auto"/>
              <w:jc w:val="center"/>
              <w:rPr>
                <w:rFonts w:hint="eastAsia" w:ascii="宋体" w:hAnsi="宋体" w:eastAsia="宋体" w:cs="宋体"/>
                <w:b/>
                <w:bCs/>
                <w:color w:val="auto"/>
                <w:sz w:val="24"/>
                <w:szCs w:val="24"/>
                <w:highlight w:val="yellow"/>
                <w:vertAlign w:val="baseline"/>
                <w:lang w:val="en-US" w:eastAsia="zh-CN"/>
              </w:rPr>
            </w:pPr>
          </w:p>
        </w:tc>
        <w:tc>
          <w:tcPr>
            <w:tcW w:w="1825" w:type="dxa"/>
            <w:vAlign w:val="center"/>
          </w:tcPr>
          <w:p w14:paraId="71C6D6D5">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合格</w:t>
            </w:r>
          </w:p>
          <w:p w14:paraId="5562ECCE">
            <w:pPr>
              <w:spacing w:line="240" w:lineRule="auto"/>
              <w:jc w:val="both"/>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（无扣分情况）</w:t>
            </w:r>
          </w:p>
        </w:tc>
        <w:tc>
          <w:tcPr>
            <w:tcW w:w="2075" w:type="dxa"/>
            <w:vAlign w:val="center"/>
          </w:tcPr>
          <w:p w14:paraId="1911F3B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不合格</w:t>
            </w:r>
          </w:p>
          <w:p w14:paraId="74EBFE58">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（存在扣分情况）</w:t>
            </w:r>
          </w:p>
        </w:tc>
        <w:tc>
          <w:tcPr>
            <w:tcW w:w="1808" w:type="dxa"/>
            <w:vAlign w:val="center"/>
          </w:tcPr>
          <w:p w14:paraId="2DB37794">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扣分项</w:t>
            </w:r>
          </w:p>
        </w:tc>
      </w:tr>
      <w:tr w14:paraId="14FD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restart"/>
            <w:vAlign w:val="center"/>
          </w:tcPr>
          <w:p w14:paraId="7A8187F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服务团队及相关服务情况</w:t>
            </w:r>
          </w:p>
        </w:tc>
        <w:tc>
          <w:tcPr>
            <w:tcW w:w="513" w:type="dxa"/>
          </w:tcPr>
          <w:p w14:paraId="2D56B99C">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w:t>
            </w:r>
          </w:p>
        </w:tc>
        <w:tc>
          <w:tcPr>
            <w:tcW w:w="2887" w:type="dxa"/>
          </w:tcPr>
          <w:p w14:paraId="24583C9A">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人员考勤到岗情况</w:t>
            </w:r>
          </w:p>
        </w:tc>
        <w:tc>
          <w:tcPr>
            <w:tcW w:w="1825" w:type="dxa"/>
          </w:tcPr>
          <w:p w14:paraId="4CD05AD1">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47117A5F">
            <w:pPr>
              <w:spacing w:line="240" w:lineRule="auto"/>
              <w:jc w:val="center"/>
              <w:rPr>
                <w:rFonts w:hint="default" w:ascii="宋体" w:hAnsi="宋体" w:eastAsia="宋体" w:cs="宋体"/>
                <w:b/>
                <w:bCs/>
                <w:color w:val="auto"/>
                <w:sz w:val="24"/>
                <w:szCs w:val="24"/>
                <w:highlight w:val="none"/>
                <w:vertAlign w:val="baseline"/>
                <w:lang w:val="en-US" w:eastAsia="zh-CN"/>
              </w:rPr>
            </w:pPr>
          </w:p>
        </w:tc>
        <w:tc>
          <w:tcPr>
            <w:tcW w:w="1808" w:type="dxa"/>
            <w:vAlign w:val="top"/>
          </w:tcPr>
          <w:p w14:paraId="616B8332">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扣100元/人</w:t>
            </w:r>
          </w:p>
        </w:tc>
      </w:tr>
      <w:tr w14:paraId="3003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3818CDF6">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0040F684">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w:t>
            </w:r>
          </w:p>
        </w:tc>
        <w:tc>
          <w:tcPr>
            <w:tcW w:w="2887" w:type="dxa"/>
          </w:tcPr>
          <w:p w14:paraId="522C290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持证上岗情况</w:t>
            </w:r>
          </w:p>
        </w:tc>
        <w:tc>
          <w:tcPr>
            <w:tcW w:w="1825" w:type="dxa"/>
          </w:tcPr>
          <w:p w14:paraId="720453B7">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42F24296">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5F624D7C">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扣100元/人</w:t>
            </w:r>
          </w:p>
        </w:tc>
      </w:tr>
      <w:tr w14:paraId="3CBE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02A3DF10">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19FC887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w:t>
            </w:r>
          </w:p>
        </w:tc>
        <w:tc>
          <w:tcPr>
            <w:tcW w:w="2887" w:type="dxa"/>
          </w:tcPr>
          <w:p w14:paraId="10404CE2">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人员服从管理情况</w:t>
            </w:r>
          </w:p>
        </w:tc>
        <w:tc>
          <w:tcPr>
            <w:tcW w:w="1825" w:type="dxa"/>
          </w:tcPr>
          <w:p w14:paraId="78840F81">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378B0893">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39E814F9">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扣100元/人</w:t>
            </w:r>
          </w:p>
        </w:tc>
      </w:tr>
      <w:tr w14:paraId="2CCD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3970F889">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3E6DE487">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c>
          <w:tcPr>
            <w:tcW w:w="2887" w:type="dxa"/>
          </w:tcPr>
          <w:p w14:paraId="233C0172">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制订菜谱及合理开支情况</w:t>
            </w:r>
          </w:p>
        </w:tc>
        <w:tc>
          <w:tcPr>
            <w:tcW w:w="1825" w:type="dxa"/>
          </w:tcPr>
          <w:p w14:paraId="1350642B">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14F92DF5">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1BFF39B2">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w:t>
            </w:r>
          </w:p>
        </w:tc>
      </w:tr>
      <w:tr w14:paraId="0DF6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45E04B2B">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78289D84">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5</w:t>
            </w:r>
          </w:p>
        </w:tc>
        <w:tc>
          <w:tcPr>
            <w:tcW w:w="2887" w:type="dxa"/>
          </w:tcPr>
          <w:p w14:paraId="20F4A06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饭菜品种质量情况</w:t>
            </w:r>
          </w:p>
        </w:tc>
        <w:tc>
          <w:tcPr>
            <w:tcW w:w="1825" w:type="dxa"/>
          </w:tcPr>
          <w:p w14:paraId="09B7EE55">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5952D2DB">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060CD4AA">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w:t>
            </w:r>
          </w:p>
        </w:tc>
      </w:tr>
      <w:tr w14:paraId="7D47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10C12E00">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60A40A66">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w:t>
            </w:r>
          </w:p>
        </w:tc>
        <w:tc>
          <w:tcPr>
            <w:tcW w:w="2887" w:type="dxa"/>
          </w:tcPr>
          <w:p w14:paraId="1356E0FB">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面点品种质量情况</w:t>
            </w:r>
          </w:p>
        </w:tc>
        <w:tc>
          <w:tcPr>
            <w:tcW w:w="1825" w:type="dxa"/>
          </w:tcPr>
          <w:p w14:paraId="79834B42">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15374833">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4B29AFBB">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w:t>
            </w:r>
          </w:p>
        </w:tc>
      </w:tr>
      <w:tr w14:paraId="71A1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1C56BDED">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6F26CAE4">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7</w:t>
            </w:r>
          </w:p>
        </w:tc>
        <w:tc>
          <w:tcPr>
            <w:tcW w:w="2887" w:type="dxa"/>
          </w:tcPr>
          <w:p w14:paraId="11781FE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工作区卫生情况</w:t>
            </w:r>
          </w:p>
        </w:tc>
        <w:tc>
          <w:tcPr>
            <w:tcW w:w="1825" w:type="dxa"/>
          </w:tcPr>
          <w:p w14:paraId="759CCB74">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636D48BF">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378CB858">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w:t>
            </w:r>
          </w:p>
        </w:tc>
      </w:tr>
      <w:tr w14:paraId="5291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2796E26F">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562794C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8</w:t>
            </w:r>
          </w:p>
        </w:tc>
        <w:tc>
          <w:tcPr>
            <w:tcW w:w="2887" w:type="dxa"/>
          </w:tcPr>
          <w:p w14:paraId="65CCBD8F">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个人着装及卫生情况</w:t>
            </w:r>
          </w:p>
        </w:tc>
        <w:tc>
          <w:tcPr>
            <w:tcW w:w="1825" w:type="dxa"/>
          </w:tcPr>
          <w:p w14:paraId="468E633A">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349AAA69">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5A291279">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扣100元/人</w:t>
            </w:r>
          </w:p>
        </w:tc>
      </w:tr>
      <w:tr w14:paraId="5B39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2C0C9552">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2C5FDF3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9</w:t>
            </w:r>
          </w:p>
        </w:tc>
        <w:tc>
          <w:tcPr>
            <w:tcW w:w="2887" w:type="dxa"/>
          </w:tcPr>
          <w:p w14:paraId="475B767C">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就餐人员投诉情况</w:t>
            </w:r>
          </w:p>
        </w:tc>
        <w:tc>
          <w:tcPr>
            <w:tcW w:w="1825" w:type="dxa"/>
          </w:tcPr>
          <w:p w14:paraId="169015CE">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457FB270">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0592DC84">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扣100元/人</w:t>
            </w:r>
          </w:p>
        </w:tc>
      </w:tr>
      <w:tr w14:paraId="31A1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Merge w:val="continue"/>
          </w:tcPr>
          <w:p w14:paraId="6DA5FCE2">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513" w:type="dxa"/>
          </w:tcPr>
          <w:p w14:paraId="065BD64A">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w:t>
            </w:r>
          </w:p>
        </w:tc>
        <w:tc>
          <w:tcPr>
            <w:tcW w:w="2887" w:type="dxa"/>
          </w:tcPr>
          <w:p w14:paraId="1C4DAAED">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其它不符合规定的情况</w:t>
            </w:r>
          </w:p>
        </w:tc>
        <w:tc>
          <w:tcPr>
            <w:tcW w:w="1825" w:type="dxa"/>
          </w:tcPr>
          <w:p w14:paraId="31F441F5">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075" w:type="dxa"/>
          </w:tcPr>
          <w:p w14:paraId="2E558348">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1808" w:type="dxa"/>
            <w:vAlign w:val="top"/>
          </w:tcPr>
          <w:p w14:paraId="3C74A2CF">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扣100-2000元</w:t>
            </w:r>
          </w:p>
        </w:tc>
      </w:tr>
      <w:tr w14:paraId="3E4F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972" w:type="dxa"/>
            <w:vAlign w:val="center"/>
          </w:tcPr>
          <w:p w14:paraId="5968BE48">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当</w:t>
            </w:r>
            <w:r>
              <w:rPr>
                <w:rFonts w:hint="eastAsia" w:ascii="宋体" w:hAnsi="宋体" w:cs="宋体"/>
                <w:b/>
                <w:bCs/>
                <w:color w:val="auto"/>
                <w:sz w:val="24"/>
                <w:szCs w:val="24"/>
                <w:highlight w:val="none"/>
                <w:vertAlign w:val="baseline"/>
                <w:lang w:val="en-US" w:eastAsia="zh-CN"/>
              </w:rPr>
              <w:t>日</w:t>
            </w:r>
            <w:r>
              <w:rPr>
                <w:rFonts w:hint="eastAsia" w:ascii="宋体" w:hAnsi="宋体" w:eastAsia="宋体" w:cs="宋体"/>
                <w:b/>
                <w:bCs/>
                <w:color w:val="auto"/>
                <w:sz w:val="24"/>
                <w:szCs w:val="24"/>
                <w:highlight w:val="none"/>
                <w:vertAlign w:val="baseline"/>
                <w:lang w:val="en-US" w:eastAsia="zh-CN"/>
              </w:rPr>
              <w:t>合计扣款（元）</w:t>
            </w:r>
          </w:p>
        </w:tc>
        <w:tc>
          <w:tcPr>
            <w:tcW w:w="9108" w:type="dxa"/>
            <w:gridSpan w:val="5"/>
            <w:vAlign w:val="center"/>
          </w:tcPr>
          <w:p w14:paraId="1C9F4715">
            <w:pPr>
              <w:spacing w:line="240" w:lineRule="auto"/>
              <w:jc w:val="both"/>
              <w:rPr>
                <w:rFonts w:hint="eastAsia" w:ascii="宋体" w:hAnsi="宋体" w:eastAsia="宋体" w:cs="宋体"/>
                <w:b/>
                <w:bCs/>
                <w:color w:val="auto"/>
                <w:sz w:val="24"/>
                <w:szCs w:val="24"/>
                <w:highlight w:val="none"/>
                <w:vertAlign w:val="baseline"/>
                <w:lang w:val="en-US" w:eastAsia="zh-CN"/>
              </w:rPr>
            </w:pPr>
          </w:p>
        </w:tc>
      </w:tr>
      <w:tr w14:paraId="1A56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72" w:type="dxa"/>
            <w:vAlign w:val="center"/>
          </w:tcPr>
          <w:p w14:paraId="26D8A5F0">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备 注</w:t>
            </w:r>
          </w:p>
        </w:tc>
        <w:tc>
          <w:tcPr>
            <w:tcW w:w="9108" w:type="dxa"/>
            <w:gridSpan w:val="5"/>
            <w:vAlign w:val="center"/>
          </w:tcPr>
          <w:p w14:paraId="581676FF">
            <w:pPr>
              <w:spacing w:line="240" w:lineRule="auto"/>
              <w:jc w:val="both"/>
              <w:rPr>
                <w:rFonts w:hint="eastAsia" w:ascii="宋体" w:hAnsi="宋体" w:eastAsia="宋体" w:cs="宋体"/>
                <w:b/>
                <w:bCs/>
                <w:color w:val="auto"/>
                <w:sz w:val="24"/>
                <w:szCs w:val="24"/>
                <w:highlight w:val="none"/>
                <w:vertAlign w:val="baseline"/>
                <w:lang w:val="en-US" w:eastAsia="zh-CN"/>
              </w:rPr>
            </w:pPr>
          </w:p>
        </w:tc>
      </w:tr>
    </w:tbl>
    <w:p w14:paraId="364EE6D3">
      <w:pPr>
        <w:spacing w:line="240" w:lineRule="auto"/>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甲方签字：                                        乙方签字：</w:t>
      </w:r>
    </w:p>
    <w:p w14:paraId="635BF977">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textWrapping"/>
      </w:r>
    </w:p>
    <w:p w14:paraId="381DFC4C">
      <w:pPr>
        <w:spacing w:line="240" w:lineRule="auto"/>
        <w:jc w:val="both"/>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val="en-US" w:eastAsia="zh-CN"/>
        </w:rPr>
        <w:t>附件2：                 满意度测评表</w:t>
      </w:r>
    </w:p>
    <w:p w14:paraId="729783E9">
      <w:pPr>
        <w:spacing w:line="240" w:lineRule="auto"/>
        <w:jc w:val="both"/>
        <w:rPr>
          <w:rFonts w:hint="eastAsia" w:ascii="宋体" w:hAnsi="宋体" w:eastAsia="宋体" w:cs="宋体"/>
          <w:b/>
          <w:bCs/>
          <w:color w:val="auto"/>
          <w:sz w:val="24"/>
          <w:szCs w:val="24"/>
          <w:highlight w:val="none"/>
          <w:lang w:val="en-US" w:eastAsia="zh-CN"/>
        </w:rPr>
      </w:pPr>
    </w:p>
    <w:p w14:paraId="2EB39760">
      <w:pPr>
        <w:spacing w:line="240" w:lineRule="auto"/>
        <w:jc w:val="righ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年    月   日</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530"/>
        <w:gridCol w:w="5136"/>
        <w:gridCol w:w="3386"/>
      </w:tblGrid>
      <w:tr w14:paraId="33B8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10" w:type="pct"/>
            <w:vAlign w:val="center"/>
          </w:tcPr>
          <w:p w14:paraId="275C1687">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名称</w:t>
            </w:r>
          </w:p>
        </w:tc>
        <w:tc>
          <w:tcPr>
            <w:tcW w:w="2810" w:type="pct"/>
            <w:gridSpan w:val="2"/>
            <w:vAlign w:val="center"/>
          </w:tcPr>
          <w:p w14:paraId="25336F03">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工作细项</w:t>
            </w:r>
          </w:p>
        </w:tc>
        <w:tc>
          <w:tcPr>
            <w:tcW w:w="1678" w:type="pct"/>
            <w:vAlign w:val="center"/>
          </w:tcPr>
          <w:p w14:paraId="5A51360B">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考评结果(得分)</w:t>
            </w:r>
          </w:p>
        </w:tc>
      </w:tr>
      <w:tr w14:paraId="3138E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restart"/>
            <w:vAlign w:val="center"/>
          </w:tcPr>
          <w:p w14:paraId="18D09697">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服务团队及相关服务情况</w:t>
            </w:r>
          </w:p>
        </w:tc>
        <w:tc>
          <w:tcPr>
            <w:tcW w:w="263" w:type="pct"/>
          </w:tcPr>
          <w:p w14:paraId="52CBAF7B">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1</w:t>
            </w:r>
          </w:p>
        </w:tc>
        <w:tc>
          <w:tcPr>
            <w:tcW w:w="2546" w:type="pct"/>
          </w:tcPr>
          <w:p w14:paraId="67F7DA61">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饭菜品种及质量情况(满分25分)</w:t>
            </w:r>
          </w:p>
        </w:tc>
        <w:tc>
          <w:tcPr>
            <w:tcW w:w="1678" w:type="pct"/>
          </w:tcPr>
          <w:p w14:paraId="403C7ABB">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1A6C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14:paraId="0248016C">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63" w:type="pct"/>
          </w:tcPr>
          <w:p w14:paraId="5E4D656B">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w:t>
            </w:r>
          </w:p>
        </w:tc>
        <w:tc>
          <w:tcPr>
            <w:tcW w:w="2546" w:type="pct"/>
          </w:tcPr>
          <w:p w14:paraId="09B8EC11">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面点品种及质量情况(满分25分)</w:t>
            </w:r>
          </w:p>
        </w:tc>
        <w:tc>
          <w:tcPr>
            <w:tcW w:w="1678" w:type="pct"/>
          </w:tcPr>
          <w:p w14:paraId="0BF5F230">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2383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14:paraId="1695038A">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63" w:type="pct"/>
          </w:tcPr>
          <w:p w14:paraId="2643CF2B">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3</w:t>
            </w:r>
          </w:p>
        </w:tc>
        <w:tc>
          <w:tcPr>
            <w:tcW w:w="2546" w:type="pct"/>
          </w:tcPr>
          <w:p w14:paraId="4DEC7836">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工作区卫生情况(满分2</w:t>
            </w:r>
            <w:r>
              <w:rPr>
                <w:rFonts w:hint="eastAsia" w:ascii="宋体" w:hAnsi="宋体" w:cs="宋体"/>
                <w:b/>
                <w:bCs/>
                <w:color w:val="auto"/>
                <w:sz w:val="24"/>
                <w:szCs w:val="24"/>
                <w:highlight w:val="none"/>
                <w:vertAlign w:val="baseline"/>
                <w:lang w:val="en-US" w:eastAsia="zh-CN"/>
              </w:rPr>
              <w:t>0</w:t>
            </w:r>
            <w:r>
              <w:rPr>
                <w:rFonts w:hint="eastAsia" w:ascii="宋体" w:hAnsi="宋体" w:eastAsia="宋体" w:cs="宋体"/>
                <w:b/>
                <w:bCs/>
                <w:color w:val="auto"/>
                <w:sz w:val="24"/>
                <w:szCs w:val="24"/>
                <w:highlight w:val="none"/>
                <w:vertAlign w:val="baseline"/>
                <w:lang w:val="en-US" w:eastAsia="zh-CN"/>
              </w:rPr>
              <w:t>分)</w:t>
            </w:r>
          </w:p>
        </w:tc>
        <w:tc>
          <w:tcPr>
            <w:tcW w:w="1678" w:type="pct"/>
          </w:tcPr>
          <w:p w14:paraId="1BAC199D">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3188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14:paraId="12FC42D0">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63" w:type="pct"/>
          </w:tcPr>
          <w:p w14:paraId="46A4EA41">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4</w:t>
            </w:r>
          </w:p>
        </w:tc>
        <w:tc>
          <w:tcPr>
            <w:tcW w:w="2546" w:type="pct"/>
          </w:tcPr>
          <w:p w14:paraId="7628EC2C">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服务态度及着装卫生情况(满分10分</w:t>
            </w:r>
            <w:r>
              <w:rPr>
                <w:rFonts w:hint="eastAsia" w:ascii="宋体" w:hAnsi="宋体" w:cs="宋体"/>
                <w:b/>
                <w:bCs/>
                <w:color w:val="auto"/>
                <w:sz w:val="24"/>
                <w:szCs w:val="24"/>
                <w:highlight w:val="none"/>
                <w:vertAlign w:val="baseline"/>
                <w:lang w:val="en-US" w:eastAsia="zh-CN"/>
              </w:rPr>
              <w:t>）</w:t>
            </w:r>
          </w:p>
        </w:tc>
        <w:tc>
          <w:tcPr>
            <w:tcW w:w="1678" w:type="pct"/>
          </w:tcPr>
          <w:p w14:paraId="3D285430">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109D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14:paraId="42E17393">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63" w:type="pct"/>
          </w:tcPr>
          <w:p w14:paraId="1AFDC209">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5</w:t>
            </w:r>
          </w:p>
        </w:tc>
        <w:tc>
          <w:tcPr>
            <w:tcW w:w="2546" w:type="pct"/>
          </w:tcPr>
          <w:p w14:paraId="19A40FA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就餐人员投诉情况(满分15分)</w:t>
            </w:r>
          </w:p>
        </w:tc>
        <w:tc>
          <w:tcPr>
            <w:tcW w:w="1678" w:type="pct"/>
          </w:tcPr>
          <w:p w14:paraId="5887ADFE">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2C2A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pct"/>
            <w:vMerge w:val="continue"/>
          </w:tcPr>
          <w:p w14:paraId="36CB7F6D">
            <w:pPr>
              <w:spacing w:line="240" w:lineRule="auto"/>
              <w:jc w:val="center"/>
              <w:rPr>
                <w:rFonts w:hint="eastAsia" w:ascii="宋体" w:hAnsi="宋体" w:eastAsia="宋体" w:cs="宋体"/>
                <w:b/>
                <w:bCs/>
                <w:color w:val="auto"/>
                <w:sz w:val="24"/>
                <w:szCs w:val="24"/>
                <w:highlight w:val="none"/>
                <w:vertAlign w:val="baseline"/>
                <w:lang w:val="en-US" w:eastAsia="zh-CN"/>
              </w:rPr>
            </w:pPr>
          </w:p>
        </w:tc>
        <w:tc>
          <w:tcPr>
            <w:tcW w:w="263" w:type="pct"/>
          </w:tcPr>
          <w:p w14:paraId="69A18CB5">
            <w:pPr>
              <w:spacing w:line="240"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6</w:t>
            </w:r>
          </w:p>
        </w:tc>
        <w:tc>
          <w:tcPr>
            <w:tcW w:w="2546" w:type="pct"/>
          </w:tcPr>
          <w:p w14:paraId="743B68A7">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其它不符合规定的情况(满分</w:t>
            </w:r>
            <w:r>
              <w:rPr>
                <w:rFonts w:hint="eastAsia" w:ascii="宋体" w:hAnsi="宋体" w:cs="宋体"/>
                <w:b/>
                <w:bCs/>
                <w:color w:val="auto"/>
                <w:sz w:val="24"/>
                <w:szCs w:val="24"/>
                <w:highlight w:val="none"/>
                <w:vertAlign w:val="baseline"/>
                <w:lang w:val="en-US" w:eastAsia="zh-CN"/>
              </w:rPr>
              <w:t>5</w:t>
            </w:r>
            <w:r>
              <w:rPr>
                <w:rFonts w:hint="eastAsia" w:ascii="宋体" w:hAnsi="宋体" w:eastAsia="宋体" w:cs="宋体"/>
                <w:b/>
                <w:bCs/>
                <w:color w:val="auto"/>
                <w:sz w:val="24"/>
                <w:szCs w:val="24"/>
                <w:highlight w:val="none"/>
                <w:vertAlign w:val="baseline"/>
                <w:lang w:val="en-US" w:eastAsia="zh-CN"/>
              </w:rPr>
              <w:t>分)</w:t>
            </w:r>
          </w:p>
        </w:tc>
        <w:tc>
          <w:tcPr>
            <w:tcW w:w="1678" w:type="pct"/>
          </w:tcPr>
          <w:p w14:paraId="5EF7CCDB">
            <w:pPr>
              <w:spacing w:line="240" w:lineRule="auto"/>
              <w:jc w:val="center"/>
              <w:rPr>
                <w:rFonts w:hint="eastAsia" w:ascii="宋体" w:hAnsi="宋体" w:eastAsia="宋体" w:cs="宋体"/>
                <w:b/>
                <w:bCs/>
                <w:color w:val="auto"/>
                <w:sz w:val="24"/>
                <w:szCs w:val="24"/>
                <w:highlight w:val="none"/>
                <w:vertAlign w:val="baseline"/>
                <w:lang w:val="en-US" w:eastAsia="zh-CN"/>
              </w:rPr>
            </w:pPr>
          </w:p>
        </w:tc>
      </w:tr>
      <w:tr w14:paraId="557B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510" w:type="pct"/>
            <w:vAlign w:val="center"/>
          </w:tcPr>
          <w:p w14:paraId="008899DA">
            <w:pPr>
              <w:spacing w:line="240" w:lineRule="auto"/>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总体</w:t>
            </w:r>
          </w:p>
          <w:p w14:paraId="7D6D09E1">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考评</w:t>
            </w:r>
          </w:p>
        </w:tc>
        <w:tc>
          <w:tcPr>
            <w:tcW w:w="2810" w:type="pct"/>
            <w:gridSpan w:val="2"/>
            <w:vAlign w:val="center"/>
          </w:tcPr>
          <w:p w14:paraId="20254515">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合计（按照工作细项1至6项内容）</w:t>
            </w:r>
          </w:p>
        </w:tc>
        <w:tc>
          <w:tcPr>
            <w:tcW w:w="1678" w:type="pct"/>
            <w:vAlign w:val="center"/>
          </w:tcPr>
          <w:p w14:paraId="027814A4">
            <w:pPr>
              <w:spacing w:line="240" w:lineRule="auto"/>
              <w:jc w:val="left"/>
              <w:rPr>
                <w:rFonts w:hint="eastAsia" w:ascii="宋体" w:hAnsi="宋体" w:eastAsia="宋体" w:cs="宋体"/>
                <w:b/>
                <w:bCs/>
                <w:color w:val="auto"/>
                <w:sz w:val="24"/>
                <w:szCs w:val="24"/>
                <w:highlight w:val="none"/>
                <w:vertAlign w:val="baseline"/>
                <w:lang w:val="en-US" w:eastAsia="zh-CN"/>
              </w:rPr>
            </w:pPr>
          </w:p>
        </w:tc>
      </w:tr>
      <w:tr w14:paraId="5321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10" w:type="pct"/>
            <w:vAlign w:val="center"/>
          </w:tcPr>
          <w:p w14:paraId="4659834E">
            <w:pPr>
              <w:spacing w:line="240" w:lineRule="auto"/>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备 注</w:t>
            </w:r>
          </w:p>
        </w:tc>
        <w:tc>
          <w:tcPr>
            <w:tcW w:w="4489" w:type="pct"/>
            <w:gridSpan w:val="3"/>
            <w:vAlign w:val="center"/>
          </w:tcPr>
          <w:p w14:paraId="07C8E749">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w:t>
            </w:r>
            <w:r>
              <w:rPr>
                <w:rFonts w:hint="eastAsia" w:ascii="宋体" w:hAnsi="宋体" w:cs="宋体"/>
                <w:color w:val="auto"/>
                <w:sz w:val="24"/>
                <w:szCs w:val="24"/>
                <w:highlight w:val="none"/>
                <w:lang w:eastAsia="zh-CN"/>
              </w:rPr>
              <w:t>月底</w:t>
            </w:r>
            <w:r>
              <w:rPr>
                <w:rFonts w:hint="eastAsia" w:ascii="宋体" w:hAnsi="宋体" w:eastAsia="宋体" w:cs="宋体"/>
                <w:color w:val="auto"/>
                <w:sz w:val="24"/>
                <w:szCs w:val="24"/>
                <w:highlight w:val="none"/>
                <w:lang w:eastAsia="zh-CN"/>
              </w:rPr>
              <w:t>组织膳食委员会（</w:t>
            </w:r>
            <w:r>
              <w:rPr>
                <w:rFonts w:hint="eastAsia" w:ascii="宋体" w:hAnsi="宋体" w:cs="宋体"/>
                <w:color w:val="auto"/>
                <w:sz w:val="24"/>
                <w:szCs w:val="24"/>
                <w:highlight w:val="none"/>
                <w:lang w:eastAsia="zh-CN"/>
              </w:rPr>
              <w:t>随机</w:t>
            </w:r>
            <w:r>
              <w:rPr>
                <w:rFonts w:hint="eastAsia" w:ascii="宋体" w:hAnsi="宋体" w:eastAsia="宋体" w:cs="宋体"/>
                <w:color w:val="auto"/>
                <w:sz w:val="24"/>
                <w:szCs w:val="24"/>
                <w:highlight w:val="none"/>
                <w:lang w:eastAsia="zh-CN"/>
              </w:rPr>
              <w:t>10名</w:t>
            </w:r>
            <w:r>
              <w:rPr>
                <w:rFonts w:hint="eastAsia" w:ascii="宋体" w:hAnsi="宋体" w:cs="宋体"/>
                <w:color w:val="auto"/>
                <w:sz w:val="24"/>
                <w:szCs w:val="24"/>
                <w:highlight w:val="none"/>
                <w:lang w:eastAsia="zh-CN"/>
              </w:rPr>
              <w:t>员工</w:t>
            </w:r>
            <w:r>
              <w:rPr>
                <w:rFonts w:hint="eastAsia" w:ascii="宋体" w:hAnsi="宋体" w:eastAsia="宋体" w:cs="宋体"/>
                <w:color w:val="auto"/>
                <w:sz w:val="24"/>
                <w:szCs w:val="24"/>
                <w:highlight w:val="none"/>
                <w:lang w:eastAsia="zh-CN"/>
              </w:rPr>
              <w:t>）进行现场满意度测评打分。</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90分(含)以上为合格；</w:t>
            </w:r>
          </w:p>
          <w:p w14:paraId="33868F74">
            <w:pPr>
              <w:spacing w:line="360" w:lineRule="auto"/>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color w:val="auto"/>
                <w:sz w:val="24"/>
                <w:szCs w:val="24"/>
                <w:highlight w:val="none"/>
                <w:lang w:eastAsia="zh-CN"/>
              </w:rPr>
              <w:t>90分以下，每下降1分扣款300元作为处罚并进行整改；</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在70</w:t>
            </w:r>
            <w:r>
              <w:rPr>
                <w:rFonts w:hint="eastAsia" w:ascii="宋体" w:hAnsi="宋体" w:cs="宋体"/>
                <w:color w:val="auto"/>
                <w:sz w:val="24"/>
                <w:szCs w:val="24"/>
                <w:highlight w:val="none"/>
                <w:lang w:eastAsia="zh-CN"/>
              </w:rPr>
              <w:t>分（含）</w:t>
            </w:r>
            <w:r>
              <w:rPr>
                <w:rFonts w:hint="eastAsia" w:ascii="宋体" w:hAnsi="宋体" w:eastAsia="宋体" w:cs="宋体"/>
                <w:color w:val="auto"/>
                <w:sz w:val="24"/>
                <w:szCs w:val="24"/>
                <w:highlight w:val="none"/>
                <w:lang w:eastAsia="zh-CN"/>
              </w:rPr>
              <w:t>以下须更换厨师长；</w:t>
            </w:r>
            <w:r>
              <w:rPr>
                <w:rFonts w:hint="eastAsia" w:ascii="宋体" w:hAnsi="宋体" w:eastAsia="宋体" w:cs="宋体"/>
                <w:color w:val="auto"/>
                <w:sz w:val="24"/>
                <w:szCs w:val="24"/>
                <w:highlight w:val="none"/>
                <w:lang w:eastAsia="zh-CN"/>
              </w:rPr>
              <w:br w:type="textWrapping"/>
            </w:r>
            <w:r>
              <w:rPr>
                <w:rFonts w:hint="eastAsia" w:ascii="宋体" w:hAnsi="宋体" w:eastAsia="宋体" w:cs="宋体"/>
                <w:color w:val="auto"/>
                <w:sz w:val="24"/>
                <w:szCs w:val="24"/>
                <w:highlight w:val="none"/>
                <w:lang w:eastAsia="zh-CN"/>
              </w:rPr>
              <w:t>60分</w:t>
            </w:r>
            <w:r>
              <w:rPr>
                <w:rFonts w:hint="eastAsia" w:ascii="宋体" w:hAnsi="宋体" w:cs="宋体"/>
                <w:color w:val="auto"/>
                <w:sz w:val="24"/>
                <w:szCs w:val="24"/>
                <w:highlight w:val="none"/>
                <w:lang w:eastAsia="zh-CN"/>
              </w:rPr>
              <w:t>（含）</w:t>
            </w:r>
            <w:r>
              <w:rPr>
                <w:rFonts w:hint="eastAsia" w:ascii="宋体" w:hAnsi="宋体" w:eastAsia="宋体" w:cs="宋体"/>
                <w:color w:val="auto"/>
                <w:sz w:val="24"/>
                <w:szCs w:val="24"/>
                <w:highlight w:val="none"/>
                <w:lang w:eastAsia="zh-CN"/>
              </w:rPr>
              <w:t>以下不支付当月费用</w:t>
            </w:r>
            <w:r>
              <w:rPr>
                <w:rFonts w:hint="eastAsia" w:ascii="宋体" w:hAnsi="宋体" w:cs="宋体"/>
                <w:color w:val="auto"/>
                <w:sz w:val="24"/>
                <w:szCs w:val="24"/>
                <w:highlight w:val="none"/>
                <w:lang w:eastAsia="zh-CN"/>
              </w:rPr>
              <w:t>。</w:t>
            </w:r>
          </w:p>
        </w:tc>
      </w:tr>
    </w:tbl>
    <w:p w14:paraId="6A5AD5EC">
      <w:pPr>
        <w:spacing w:line="24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甲方签字:</w:t>
      </w: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乙方签字:</w:t>
      </w:r>
      <w:r>
        <w:rPr>
          <w:rFonts w:hint="eastAsia" w:ascii="宋体" w:hAnsi="宋体" w:eastAsia="宋体" w:cs="宋体"/>
          <w:b/>
          <w:bCs/>
          <w:color w:val="auto"/>
          <w:sz w:val="24"/>
          <w:szCs w:val="24"/>
          <w:highlight w:val="none"/>
          <w:lang w:val="en-US" w:eastAsia="zh-CN"/>
        </w:rPr>
        <w:br w:type="textWrapping"/>
      </w:r>
      <w:r>
        <w:rPr>
          <w:rFonts w:hint="eastAsia" w:ascii="宋体" w:hAnsi="宋体" w:eastAsia="宋体" w:cs="宋体"/>
          <w:b/>
          <w:bCs/>
          <w:color w:val="auto"/>
          <w:sz w:val="24"/>
          <w:szCs w:val="24"/>
          <w:highlight w:val="none"/>
          <w:lang w:val="en-US" w:eastAsia="zh-CN"/>
        </w:rPr>
        <w:br w:type="page"/>
      </w:r>
      <w:r>
        <w:rPr>
          <w:rFonts w:hint="eastAsia" w:ascii="宋体" w:hAnsi="宋体" w:eastAsia="宋体" w:cs="宋体"/>
          <w:b/>
          <w:bCs/>
          <w:color w:val="auto"/>
          <w:sz w:val="24"/>
          <w:szCs w:val="24"/>
          <w:highlight w:val="none"/>
          <w:lang w:val="en-US" w:eastAsia="zh-CN"/>
        </w:rPr>
        <w:br w:type="textWrapping"/>
      </w:r>
    </w:p>
    <w:bookmarkEnd w:id="85"/>
    <w:bookmarkEnd w:id="86"/>
    <w:bookmarkEnd w:id="87"/>
    <w:bookmarkEnd w:id="88"/>
    <w:bookmarkEnd w:id="89"/>
    <w:bookmarkEnd w:id="90"/>
    <w:bookmarkEnd w:id="91"/>
    <w:p w14:paraId="4C517832">
      <w:pPr>
        <w:spacing w:line="460" w:lineRule="exact"/>
        <w:ind w:firstLine="643"/>
        <w:jc w:val="center"/>
        <w:outlineLvl w:val="0"/>
        <w:rPr>
          <w:rFonts w:ascii="宋体" w:hAnsi="宋体" w:eastAsia="宋体" w:cs="宋体"/>
          <w:b/>
          <w:bCs/>
          <w:color w:val="auto"/>
          <w:kern w:val="36"/>
          <w:sz w:val="32"/>
          <w:szCs w:val="32"/>
          <w:highlight w:val="none"/>
          <w:lang w:val="en-US" w:eastAsia="zh-CN" w:bidi="ar-SA"/>
        </w:rPr>
      </w:pPr>
      <w:bookmarkStart w:id="106" w:name="_Toc5320"/>
      <w:r>
        <w:rPr>
          <w:rFonts w:hint="eastAsia" w:ascii="宋体" w:hAnsi="宋体" w:eastAsia="宋体" w:cs="宋体"/>
          <w:b/>
          <w:bCs/>
          <w:color w:val="auto"/>
          <w:kern w:val="36"/>
          <w:sz w:val="32"/>
          <w:szCs w:val="32"/>
          <w:highlight w:val="none"/>
          <w:lang w:val="en-US" w:eastAsia="zh-CN" w:bidi="ar-SA"/>
        </w:rPr>
        <w:t>第四章 合同(参考文本)</w:t>
      </w:r>
      <w:bookmarkEnd w:id="106"/>
    </w:p>
    <w:p w14:paraId="2DEADC2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ascii="Times New Roman" w:hAnsi="Times New Roman" w:eastAsia="宋体" w:cs="Times New Roman"/>
          <w:color w:val="auto"/>
          <w:kern w:val="2"/>
          <w:sz w:val="24"/>
          <w:szCs w:val="24"/>
          <w:highlight w:val="none"/>
          <w:lang w:val="en-US" w:eastAsia="zh-CN" w:bidi="ar-SA"/>
        </w:rPr>
      </w:pPr>
      <w:r>
        <w:rPr>
          <w:rFonts w:ascii="Times New Roman" w:hAnsi="Times New Roman" w:eastAsia="宋体" w:cs="Times New Roman"/>
          <w:b/>
          <w:bCs/>
          <w:color w:val="auto"/>
          <w:kern w:val="2"/>
          <w:sz w:val="21"/>
          <w:szCs w:val="24"/>
          <w:highlight w:val="none"/>
          <w:lang w:val="en-US" w:eastAsia="zh-CN" w:bidi="ar-SA"/>
        </w:rPr>
        <w:t>编制说明</w:t>
      </w:r>
    </w:p>
    <w:p w14:paraId="3543E93A">
      <w:pPr>
        <w:keepNext w:val="0"/>
        <w:keepLines w:val="0"/>
        <w:pageBreakBefore w:val="0"/>
        <w:kinsoku/>
        <w:wordWrap/>
        <w:overflowPunct/>
        <w:topLinePunct w:val="0"/>
        <w:autoSpaceDE/>
        <w:autoSpaceDN/>
        <w:bidi w:val="0"/>
        <w:spacing w:line="460" w:lineRule="exact"/>
        <w:ind w:right="0" w:firstLine="560" w:firstLineChars="200"/>
        <w:textAlignment w:val="auto"/>
        <w:outlineLvl w:val="9"/>
        <w:rPr>
          <w:rFonts w:hint="eastAsia" w:ascii="宋体" w:hAnsi="宋体" w:eastAsia="宋体" w:cs="宋体"/>
          <w:color w:val="auto"/>
          <w:sz w:val="28"/>
          <w:szCs w:val="28"/>
          <w:lang w:eastAsia="zh-CN"/>
        </w:rPr>
      </w:pPr>
    </w:p>
    <w:p w14:paraId="5155D3E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1、签订合同应遵守民法典。</w:t>
      </w:r>
    </w:p>
    <w:p w14:paraId="22B8EA8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2、签订合同时，招标人与中标人应结合招标文件第三章规定填列相应内容。招标文件第三章已有规定的，双方均不得变更或调整；招标文件第三章未作规定的，双方可通过友好协商进行约定。</w:t>
      </w:r>
    </w:p>
    <w:p w14:paraId="1CA6A4D0">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b/>
          <w:bCs/>
          <w:color w:val="auto"/>
          <w:kern w:val="2"/>
          <w:sz w:val="21"/>
          <w:szCs w:val="24"/>
          <w:highlight w:val="none"/>
          <w:lang w:val="en-US" w:eastAsia="zh-CN" w:bidi="ar-SA"/>
        </w:rPr>
        <w:t>3、国家有关部门对若干合同有规范文本的，可使用相应合同文本。</w:t>
      </w:r>
    </w:p>
    <w:p w14:paraId="695A6FD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甲方：</w:t>
      </w:r>
      <w:r>
        <w:rPr>
          <w:rFonts w:hint="eastAsia" w:ascii="Times New Roman" w:hAnsi="Times New Roman" w:eastAsia="宋体" w:cs="Times New Roman"/>
          <w:color w:val="auto"/>
          <w:kern w:val="2"/>
          <w:sz w:val="24"/>
          <w:szCs w:val="24"/>
          <w:highlight w:val="none"/>
          <w:u w:val="single"/>
          <w:lang w:val="en-US" w:eastAsia="zh-CN" w:bidi="ar-SA"/>
        </w:rPr>
        <w:t>（采购人全称）</w:t>
      </w:r>
    </w:p>
    <w:p w14:paraId="795C449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乙方：</w:t>
      </w:r>
      <w:r>
        <w:rPr>
          <w:rFonts w:hint="eastAsia" w:ascii="Times New Roman" w:hAnsi="Times New Roman" w:eastAsia="宋体" w:cs="Times New Roman"/>
          <w:color w:val="auto"/>
          <w:kern w:val="2"/>
          <w:sz w:val="24"/>
          <w:szCs w:val="24"/>
          <w:highlight w:val="none"/>
          <w:u w:val="single"/>
          <w:lang w:val="en-US" w:eastAsia="zh-CN" w:bidi="ar-SA"/>
        </w:rPr>
        <w:t>（中标人全称）</w:t>
      </w:r>
      <w:r>
        <w:rPr>
          <w:rFonts w:hint="eastAsia" w:ascii="Times New Roman" w:hAnsi="Times New Roman" w:eastAsia="宋体" w:cs="Times New Roman"/>
          <w:color w:val="auto"/>
          <w:kern w:val="2"/>
          <w:sz w:val="24"/>
          <w:szCs w:val="24"/>
          <w:highlight w:val="none"/>
          <w:lang w:val="en-US" w:eastAsia="zh-CN" w:bidi="ar-SA"/>
        </w:rPr>
        <w:t> </w:t>
      </w:r>
    </w:p>
    <w:p w14:paraId="4837D920">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根据招标编号为</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的</w:t>
      </w:r>
      <w:r>
        <w:rPr>
          <w:rFonts w:hint="eastAsia" w:ascii="Times New Roman" w:hAnsi="Times New Roman" w:eastAsia="宋体" w:cs="Times New Roman"/>
          <w:color w:val="auto"/>
          <w:kern w:val="2"/>
          <w:sz w:val="24"/>
          <w:szCs w:val="24"/>
          <w:highlight w:val="none"/>
          <w:u w:val="single"/>
          <w:lang w:val="en-US" w:eastAsia="zh-CN" w:bidi="ar-SA"/>
        </w:rPr>
        <w:t>（填写“项目名称”）</w:t>
      </w:r>
      <w:r>
        <w:rPr>
          <w:rFonts w:hint="eastAsia" w:ascii="Times New Roman" w:hAnsi="Times New Roman" w:eastAsia="宋体" w:cs="Times New Roman"/>
          <w:color w:val="auto"/>
          <w:kern w:val="2"/>
          <w:sz w:val="24"/>
          <w:szCs w:val="24"/>
          <w:highlight w:val="none"/>
          <w:lang w:val="en-US" w:eastAsia="zh-CN" w:bidi="ar-SA"/>
        </w:rPr>
        <w:t>项目（以下简称：“本项目”）的招标结果，乙方为中标人。现经甲乙双方友好协商，就以下事项达成一致并签订本合同：</w:t>
      </w:r>
    </w:p>
    <w:p w14:paraId="1A4BF53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1、下列合同文件是构成本合同不可分割的部分：</w:t>
      </w:r>
    </w:p>
    <w:p w14:paraId="74133FB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1.1合同条款；</w:t>
      </w:r>
    </w:p>
    <w:p w14:paraId="038EA9E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1.2招标文件、乙方的投标文件；</w:t>
      </w:r>
    </w:p>
    <w:p w14:paraId="35C1F01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1.3其他文件或材料：□无。□</w:t>
      </w:r>
      <w:r>
        <w:rPr>
          <w:rFonts w:hint="eastAsia" w:ascii="Times New Roman" w:hAnsi="Times New Roman" w:eastAsia="宋体" w:cs="Times New Roman"/>
          <w:color w:val="auto"/>
          <w:kern w:val="2"/>
          <w:sz w:val="24"/>
          <w:szCs w:val="24"/>
          <w:highlight w:val="none"/>
          <w:u w:val="single"/>
          <w:lang w:val="en-US" w:eastAsia="zh-CN" w:bidi="ar-SA"/>
        </w:rPr>
        <w:t>（按照实际情况编制填写需要增加的内容）</w:t>
      </w:r>
      <w:r>
        <w:rPr>
          <w:rFonts w:hint="eastAsia" w:ascii="Times New Roman" w:hAnsi="Times New Roman" w:eastAsia="宋体" w:cs="Times New Roman"/>
          <w:color w:val="auto"/>
          <w:kern w:val="2"/>
          <w:sz w:val="24"/>
          <w:szCs w:val="24"/>
          <w:highlight w:val="none"/>
          <w:lang w:val="en-US" w:eastAsia="zh-CN" w:bidi="ar-SA"/>
        </w:rPr>
        <w:t>。</w:t>
      </w:r>
    </w:p>
    <w:p w14:paraId="6D4BE36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2、合同标的</w:t>
      </w:r>
    </w:p>
    <w:p w14:paraId="74841C3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w:t>
      </w:r>
      <w:r>
        <w:rPr>
          <w:rFonts w:hint="eastAsia" w:ascii="Times New Roman" w:hAnsi="Times New Roman" w:eastAsia="宋体" w:cs="Times New Roman"/>
          <w:color w:val="auto"/>
          <w:kern w:val="2"/>
          <w:sz w:val="24"/>
          <w:szCs w:val="24"/>
          <w:highlight w:val="none"/>
          <w:lang w:val="en-US" w:eastAsia="zh-CN" w:bidi="ar-SA"/>
        </w:rPr>
        <w:t>。</w:t>
      </w:r>
    </w:p>
    <w:p w14:paraId="021EA599">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3、合同总金额</w:t>
      </w:r>
    </w:p>
    <w:p w14:paraId="67F502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3.1合同总金额为人民币大写：</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元（￥</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w:t>
      </w:r>
    </w:p>
    <w:p w14:paraId="1F3A90A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4、合同标的交付时间、地点和条件</w:t>
      </w:r>
    </w:p>
    <w:p w14:paraId="3197B631">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4.1交付时间：</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w:t>
      </w:r>
    </w:p>
    <w:p w14:paraId="09F0C93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4.2交付地点：</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w:t>
      </w:r>
    </w:p>
    <w:p w14:paraId="144D9B59">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4.3交付条件：</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w:t>
      </w:r>
    </w:p>
    <w:p w14:paraId="21FB83D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5、合同标的应符合招标文件、乙方投标文件的规定或约定，具体如下：</w:t>
      </w:r>
    </w:p>
    <w:p w14:paraId="02DB52E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w:t>
      </w:r>
      <w:r>
        <w:rPr>
          <w:rFonts w:hint="eastAsia" w:ascii="Times New Roman" w:hAnsi="Times New Roman" w:eastAsia="宋体" w:cs="Times New Roman"/>
          <w:color w:val="auto"/>
          <w:kern w:val="2"/>
          <w:sz w:val="24"/>
          <w:szCs w:val="24"/>
          <w:highlight w:val="none"/>
          <w:lang w:val="en-US" w:eastAsia="zh-CN" w:bidi="ar-SA"/>
        </w:rPr>
        <w:t>。</w:t>
      </w:r>
    </w:p>
    <w:p w14:paraId="313FAE4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6、验收</w:t>
      </w:r>
    </w:p>
    <w:p w14:paraId="17B146F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6.1验收应按照招标文件、乙方投标文件的规定或约定进行，具体如下：</w:t>
      </w:r>
    </w:p>
    <w:p w14:paraId="6F8B1D15">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w:t>
      </w:r>
      <w:r>
        <w:rPr>
          <w:rFonts w:hint="eastAsia" w:ascii="Times New Roman" w:hAnsi="Times New Roman" w:eastAsia="宋体" w:cs="Times New Roman"/>
          <w:color w:val="auto"/>
          <w:kern w:val="2"/>
          <w:sz w:val="24"/>
          <w:szCs w:val="24"/>
          <w:highlight w:val="none"/>
          <w:lang w:val="en-US" w:eastAsia="zh-CN" w:bidi="ar-SA"/>
        </w:rPr>
        <w:t>。</w:t>
      </w:r>
    </w:p>
    <w:p w14:paraId="61C314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6.2本项目是否邀请其他投标人参与验收：</w:t>
      </w:r>
    </w:p>
    <w:p w14:paraId="49C60C91">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□不邀请。□邀请，具体如下：</w:t>
      </w:r>
      <w:r>
        <w:rPr>
          <w:rFonts w:hint="eastAsia" w:ascii="Times New Roman" w:hAnsi="Times New Roman" w:eastAsia="宋体" w:cs="Times New Roman"/>
          <w:color w:val="auto"/>
          <w:kern w:val="2"/>
          <w:sz w:val="24"/>
          <w:szCs w:val="24"/>
          <w:highlight w:val="none"/>
          <w:u w:val="single"/>
          <w:lang w:val="en-US" w:eastAsia="zh-CN" w:bidi="ar-SA"/>
        </w:rPr>
        <w:t>（按照招标文件规定填写）</w:t>
      </w:r>
      <w:r>
        <w:rPr>
          <w:rFonts w:hint="eastAsia" w:ascii="Times New Roman" w:hAnsi="Times New Roman" w:eastAsia="宋体" w:cs="Times New Roman"/>
          <w:color w:val="auto"/>
          <w:kern w:val="2"/>
          <w:sz w:val="24"/>
          <w:szCs w:val="24"/>
          <w:highlight w:val="none"/>
          <w:lang w:val="en-US" w:eastAsia="zh-CN" w:bidi="ar-SA"/>
        </w:rPr>
        <w:t>。</w:t>
      </w:r>
    </w:p>
    <w:p w14:paraId="3B9EA5C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7、合同款项的支付应按照招标文件的规定进行，具体如下：</w:t>
      </w:r>
    </w:p>
    <w:p w14:paraId="2E95CBF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（按照实际情况编制填写，可以是表格或文字描述，包括一次性支付或分期支付等）</w:t>
      </w:r>
      <w:r>
        <w:rPr>
          <w:rFonts w:hint="eastAsia" w:ascii="Times New Roman" w:hAnsi="Times New Roman" w:eastAsia="宋体" w:cs="Times New Roman"/>
          <w:color w:val="auto"/>
          <w:kern w:val="2"/>
          <w:sz w:val="24"/>
          <w:szCs w:val="24"/>
          <w:highlight w:val="none"/>
          <w:lang w:val="en-US" w:eastAsia="zh-CN" w:bidi="ar-SA"/>
        </w:rPr>
        <w:t>。</w:t>
      </w:r>
    </w:p>
    <w:p w14:paraId="18721E2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8、履约保证金</w:t>
      </w:r>
    </w:p>
    <w:p w14:paraId="4686BF2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□无。□有，具体如下：</w:t>
      </w:r>
      <w:r>
        <w:rPr>
          <w:rFonts w:hint="eastAsia" w:ascii="Times New Roman" w:hAnsi="Times New Roman" w:eastAsia="宋体" w:cs="Times New Roman"/>
          <w:color w:val="auto"/>
          <w:kern w:val="2"/>
          <w:sz w:val="24"/>
          <w:szCs w:val="24"/>
          <w:highlight w:val="none"/>
          <w:u w:val="single"/>
          <w:lang w:val="en-US" w:eastAsia="zh-CN" w:bidi="ar-SA"/>
        </w:rPr>
        <w:t>（按照招标文件规定填写）</w:t>
      </w:r>
      <w:r>
        <w:rPr>
          <w:rFonts w:hint="eastAsia" w:ascii="Times New Roman" w:hAnsi="Times New Roman" w:eastAsia="宋体" w:cs="Times New Roman"/>
          <w:color w:val="auto"/>
          <w:kern w:val="2"/>
          <w:sz w:val="24"/>
          <w:szCs w:val="24"/>
          <w:highlight w:val="none"/>
          <w:lang w:val="en-US" w:eastAsia="zh-CN" w:bidi="ar-SA"/>
        </w:rPr>
        <w:t>。</w:t>
      </w:r>
    </w:p>
    <w:p w14:paraId="60FD3B7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9、合同有效期</w:t>
      </w:r>
    </w:p>
    <w:p w14:paraId="486C748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w:t>
      </w:r>
      <w:r>
        <w:rPr>
          <w:rFonts w:hint="eastAsia" w:ascii="Times New Roman" w:hAnsi="Times New Roman" w:eastAsia="宋体" w:cs="Times New Roman"/>
          <w:color w:val="auto"/>
          <w:kern w:val="2"/>
          <w:sz w:val="24"/>
          <w:szCs w:val="24"/>
          <w:highlight w:val="none"/>
          <w:lang w:val="en-US" w:eastAsia="zh-CN" w:bidi="ar-SA"/>
        </w:rPr>
        <w:t>。</w:t>
      </w:r>
    </w:p>
    <w:p w14:paraId="1647467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10、违约责任</w:t>
      </w:r>
    </w:p>
    <w:p w14:paraId="17904EB5">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（按照实际情况编制填写，可以是表格或文字描述）</w:t>
      </w:r>
      <w:r>
        <w:rPr>
          <w:rFonts w:hint="eastAsia" w:ascii="Times New Roman" w:hAnsi="Times New Roman" w:eastAsia="宋体" w:cs="Times New Roman"/>
          <w:color w:val="auto"/>
          <w:kern w:val="2"/>
          <w:sz w:val="24"/>
          <w:szCs w:val="24"/>
          <w:highlight w:val="none"/>
          <w:lang w:val="en-US" w:eastAsia="zh-CN" w:bidi="ar-SA"/>
        </w:rPr>
        <w:t>。</w:t>
      </w:r>
    </w:p>
    <w:p w14:paraId="30F161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11、知识产权</w:t>
      </w:r>
    </w:p>
    <w:p w14:paraId="0C444D46">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11.1 乙方提供的采购标的应符合国家知识产权法律、法规的规定且非假冒伪劣品；乙方还应保证甲方不受到第三方关于侵犯知识产权及专利权、商标权或工业设计权等知 识产权方面的指控，若任何第三方提出此方面指控均与甲方无关，乙方应与第三方交涉，并承担可能发生的一切法律责任、费用和后果；若甲方因此而</w:t>
      </w:r>
      <w:r>
        <w:rPr>
          <w:rFonts w:ascii="Helvetica" w:hAnsi="Helvetica" w:eastAsia="Helvetica" w:cs="Helvetica"/>
          <w:color w:val="auto"/>
          <w:kern w:val="2"/>
          <w:sz w:val="24"/>
          <w:szCs w:val="24"/>
          <w:highlight w:val="none"/>
          <w:shd w:val="clear" w:color="auto" w:fill="FFFFFF"/>
          <w:lang w:val="en-US" w:eastAsia="zh-CN" w:bidi="ar-SA"/>
        </w:rPr>
        <w:t>招致损失</w:t>
      </w:r>
      <w:r>
        <w:rPr>
          <w:rFonts w:hint="eastAsia" w:ascii="Times New Roman" w:hAnsi="Times New Roman" w:eastAsia="宋体" w:cs="Times New Roman"/>
          <w:color w:val="auto"/>
          <w:kern w:val="2"/>
          <w:sz w:val="24"/>
          <w:szCs w:val="24"/>
          <w:highlight w:val="none"/>
          <w:lang w:val="en-US" w:eastAsia="zh-CN" w:bidi="ar-SA"/>
        </w:rPr>
        <w:t>，则 乙方应赔偿该损失。</w:t>
      </w:r>
    </w:p>
    <w:p w14:paraId="140E445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imes New Roman" w:hAnsi="Times New Roman" w:eastAsia="宋体" w:cs="Times New Roman"/>
          <w:color w:val="auto"/>
          <w:kern w:val="2"/>
          <w:sz w:val="24"/>
          <w:szCs w:val="24"/>
          <w:highlight w:val="none"/>
          <w:u w:val="single"/>
          <w:lang w:val="en-US" w:eastAsia="zh-CN" w:bidi="ar-SA"/>
        </w:rPr>
        <w:t>（按照实际情况编制填写）</w:t>
      </w:r>
      <w:r>
        <w:rPr>
          <w:rFonts w:hint="eastAsia" w:ascii="Times New Roman" w:hAnsi="Times New Roman" w:eastAsia="宋体" w:cs="Times New Roman"/>
          <w:color w:val="auto"/>
          <w:kern w:val="2"/>
          <w:sz w:val="24"/>
          <w:szCs w:val="24"/>
          <w:highlight w:val="none"/>
          <w:lang w:val="en-US" w:eastAsia="zh-CN" w:bidi="ar-SA"/>
        </w:rPr>
        <w:t>。</w:t>
      </w:r>
    </w:p>
    <w:p w14:paraId="033E2B5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12、解决争议的方法</w:t>
      </w:r>
    </w:p>
    <w:p w14:paraId="67E1455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12.1甲、乙双方协商解决。</w:t>
      </w:r>
    </w:p>
    <w:p w14:paraId="46FFAD6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12.2若协商解决不成，则通过下列途径之一解决：</w:t>
      </w:r>
    </w:p>
    <w:p w14:paraId="65A35F3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□提交仲裁委员会仲裁，具体如下：</w:t>
      </w:r>
      <w:r>
        <w:rPr>
          <w:rFonts w:hint="eastAsia" w:ascii="Times New Roman" w:hAnsi="Times New Roman" w:eastAsia="宋体" w:cs="Times New Roman"/>
          <w:color w:val="auto"/>
          <w:kern w:val="2"/>
          <w:sz w:val="24"/>
          <w:szCs w:val="24"/>
          <w:highlight w:val="none"/>
          <w:u w:val="single"/>
          <w:lang w:val="en-US" w:eastAsia="zh-CN" w:bidi="ar-SA"/>
        </w:rPr>
        <w:t>（按照实际情况编制填写）</w:t>
      </w:r>
      <w:r>
        <w:rPr>
          <w:rFonts w:hint="eastAsia" w:ascii="Times New Roman" w:hAnsi="Times New Roman" w:eastAsia="宋体" w:cs="Times New Roman"/>
          <w:color w:val="auto"/>
          <w:kern w:val="2"/>
          <w:sz w:val="24"/>
          <w:szCs w:val="24"/>
          <w:highlight w:val="none"/>
          <w:lang w:val="en-US" w:eastAsia="zh-CN" w:bidi="ar-SA"/>
        </w:rPr>
        <w:t>。</w:t>
      </w:r>
    </w:p>
    <w:p w14:paraId="11797EC0">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□向人民法院提起诉讼，具体如下：</w:t>
      </w:r>
      <w:r>
        <w:rPr>
          <w:rFonts w:hint="eastAsia" w:ascii="Times New Roman" w:hAnsi="Times New Roman" w:eastAsia="宋体" w:cs="Times New Roman"/>
          <w:color w:val="auto"/>
          <w:kern w:val="2"/>
          <w:sz w:val="24"/>
          <w:szCs w:val="24"/>
          <w:highlight w:val="none"/>
          <w:u w:val="single"/>
          <w:lang w:val="en-US" w:eastAsia="zh-CN" w:bidi="ar-SA"/>
        </w:rPr>
        <w:t>（按照实际情况编制填写）</w:t>
      </w:r>
      <w:r>
        <w:rPr>
          <w:rFonts w:hint="eastAsia" w:ascii="Times New Roman" w:hAnsi="Times New Roman" w:eastAsia="宋体" w:cs="Times New Roman"/>
          <w:color w:val="auto"/>
          <w:kern w:val="2"/>
          <w:sz w:val="24"/>
          <w:szCs w:val="24"/>
          <w:highlight w:val="none"/>
          <w:lang w:val="en-US" w:eastAsia="zh-CN" w:bidi="ar-SA"/>
        </w:rPr>
        <w:t>。</w:t>
      </w:r>
    </w:p>
    <w:p w14:paraId="301D9E5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13、不可抗力</w:t>
      </w:r>
    </w:p>
    <w:p w14:paraId="11565E8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FCB2036">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13.2本合同中的不可抗力指不能预见、不能避免、不能克服的客观情况，包括但不限于：自然灾害如地震、台风、洪水、火灾及政府行为、法律规定或其适用的变化或其他任何无法预见、避免或控制的事件。</w:t>
      </w:r>
    </w:p>
    <w:p w14:paraId="0110061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14、合同条款</w:t>
      </w:r>
    </w:p>
    <w:p w14:paraId="4391FCC6">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u w:val="single"/>
          <w:lang w:val="en-US" w:eastAsia="zh-CN" w:bidi="ar-SA"/>
        </w:rPr>
        <w:t>（按照实际情况编制填写。招标文件第三章已有规定的，双方均不得变更或调整；招标文件第三章未作规定的，双方可通过友好协商进行约定）</w:t>
      </w:r>
      <w:r>
        <w:rPr>
          <w:rFonts w:hint="eastAsia" w:ascii="Times New Roman" w:hAnsi="Times New Roman" w:eastAsia="宋体" w:cs="Times New Roman"/>
          <w:color w:val="auto"/>
          <w:kern w:val="2"/>
          <w:sz w:val="24"/>
          <w:szCs w:val="24"/>
          <w:highlight w:val="none"/>
          <w:lang w:val="en-US" w:eastAsia="zh-CN" w:bidi="ar-SA"/>
        </w:rPr>
        <w:t>。</w:t>
      </w:r>
    </w:p>
    <w:p w14:paraId="4FFB807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15、其他约定</w:t>
      </w:r>
    </w:p>
    <w:p w14:paraId="64187E24">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15.1合同文件与本合同具有同等法律效力。</w:t>
      </w:r>
    </w:p>
    <w:p w14:paraId="7343E7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15.2本合同未尽事宜，双方可另行补充。</w:t>
      </w:r>
    </w:p>
    <w:p w14:paraId="78BCAB0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15.3合同生效：自签订之日起生效。</w:t>
      </w:r>
    </w:p>
    <w:p w14:paraId="27DDDB7F">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15.4本合同一式</w:t>
      </w:r>
      <w:r>
        <w:rPr>
          <w:rFonts w:hint="eastAsia" w:ascii="Times New Roman" w:hAnsi="Times New Roman" w:eastAsia="宋体" w:cs="Times New Roman"/>
          <w:color w:val="auto"/>
          <w:kern w:val="2"/>
          <w:sz w:val="24"/>
          <w:szCs w:val="24"/>
          <w:highlight w:val="none"/>
          <w:u w:val="single"/>
          <w:lang w:val="en-US" w:eastAsia="zh-CN" w:bidi="ar-SA"/>
        </w:rPr>
        <w:t>（填写具体份数）</w:t>
      </w:r>
      <w:r>
        <w:rPr>
          <w:rFonts w:hint="eastAsia" w:ascii="Times New Roman" w:hAnsi="Times New Roman" w:eastAsia="宋体" w:cs="Times New Roman"/>
          <w:color w:val="auto"/>
          <w:kern w:val="2"/>
          <w:sz w:val="24"/>
          <w:szCs w:val="24"/>
          <w:highlight w:val="none"/>
          <w:lang w:val="en-US" w:eastAsia="zh-CN" w:bidi="ar-SA"/>
        </w:rPr>
        <w:t>份，经双方授权代表签字并盖章后生效。甲方、乙方各执</w:t>
      </w:r>
      <w:r>
        <w:rPr>
          <w:rFonts w:hint="eastAsia" w:ascii="Times New Roman" w:hAnsi="Times New Roman" w:eastAsia="宋体" w:cs="Times New Roman"/>
          <w:color w:val="auto"/>
          <w:kern w:val="2"/>
          <w:sz w:val="24"/>
          <w:szCs w:val="24"/>
          <w:highlight w:val="none"/>
          <w:u w:val="single"/>
          <w:lang w:val="en-US" w:eastAsia="zh-CN" w:bidi="ar-SA"/>
        </w:rPr>
        <w:t>（填写具体份数）</w:t>
      </w:r>
      <w:r>
        <w:rPr>
          <w:rFonts w:hint="eastAsia" w:ascii="Times New Roman" w:hAnsi="Times New Roman" w:eastAsia="宋体" w:cs="Times New Roman"/>
          <w:color w:val="auto"/>
          <w:kern w:val="2"/>
          <w:sz w:val="24"/>
          <w:szCs w:val="24"/>
          <w:highlight w:val="none"/>
          <w:lang w:val="en-US" w:eastAsia="zh-CN" w:bidi="ar-SA"/>
        </w:rPr>
        <w:t>份，送</w:t>
      </w:r>
      <w:r>
        <w:rPr>
          <w:rFonts w:hint="eastAsia" w:ascii="Times New Roman" w:hAnsi="Times New Roman" w:eastAsia="宋体" w:cs="Times New Roman"/>
          <w:color w:val="auto"/>
          <w:kern w:val="2"/>
          <w:sz w:val="24"/>
          <w:szCs w:val="24"/>
          <w:highlight w:val="none"/>
          <w:u w:val="single"/>
          <w:lang w:val="en-US" w:eastAsia="zh-CN" w:bidi="ar-SA"/>
        </w:rPr>
        <w:t>（填写需要备案的监管部门的全称）</w:t>
      </w:r>
      <w:r>
        <w:rPr>
          <w:rFonts w:hint="eastAsia" w:ascii="Times New Roman" w:hAnsi="Times New Roman" w:eastAsia="宋体" w:cs="Times New Roman"/>
          <w:color w:val="auto"/>
          <w:kern w:val="2"/>
          <w:sz w:val="24"/>
          <w:szCs w:val="24"/>
          <w:highlight w:val="none"/>
          <w:lang w:val="en-US" w:eastAsia="zh-CN" w:bidi="ar-SA"/>
        </w:rPr>
        <w:t>备案</w:t>
      </w:r>
      <w:r>
        <w:rPr>
          <w:rFonts w:hint="eastAsia" w:ascii="Times New Roman" w:hAnsi="Times New Roman" w:eastAsia="宋体" w:cs="Times New Roman"/>
          <w:color w:val="auto"/>
          <w:kern w:val="2"/>
          <w:sz w:val="24"/>
          <w:szCs w:val="24"/>
          <w:highlight w:val="none"/>
          <w:u w:val="single"/>
          <w:lang w:val="en-US" w:eastAsia="zh-CN" w:bidi="ar-SA"/>
        </w:rPr>
        <w:t>（填写具体份数）</w:t>
      </w:r>
      <w:r>
        <w:rPr>
          <w:rFonts w:hint="eastAsia" w:ascii="Times New Roman" w:hAnsi="Times New Roman" w:eastAsia="宋体" w:cs="Times New Roman"/>
          <w:color w:val="auto"/>
          <w:kern w:val="2"/>
          <w:sz w:val="24"/>
          <w:szCs w:val="24"/>
          <w:highlight w:val="none"/>
          <w:lang w:val="en-US" w:eastAsia="zh-CN" w:bidi="ar-SA"/>
        </w:rPr>
        <w:t>份，具有同等效力。</w:t>
      </w:r>
    </w:p>
    <w:p w14:paraId="49178FC8">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15.5其他：□无。□</w:t>
      </w:r>
      <w:r>
        <w:rPr>
          <w:rFonts w:hint="eastAsia" w:ascii="Times New Roman" w:hAnsi="Times New Roman" w:eastAsia="宋体" w:cs="Times New Roman"/>
          <w:color w:val="auto"/>
          <w:kern w:val="2"/>
          <w:sz w:val="24"/>
          <w:szCs w:val="24"/>
          <w:highlight w:val="none"/>
          <w:u w:val="single"/>
          <w:lang w:val="en-US" w:eastAsia="zh-CN" w:bidi="ar-SA"/>
        </w:rPr>
        <w:t>（按照实际情况编制填写需要增加的内容）</w:t>
      </w:r>
      <w:r>
        <w:rPr>
          <w:rFonts w:hint="eastAsia" w:ascii="Times New Roman" w:hAnsi="Times New Roman" w:eastAsia="宋体" w:cs="Times New Roman"/>
          <w:color w:val="auto"/>
          <w:kern w:val="2"/>
          <w:sz w:val="24"/>
          <w:szCs w:val="24"/>
          <w:highlight w:val="none"/>
          <w:lang w:val="en-US" w:eastAsia="zh-CN" w:bidi="ar-SA"/>
        </w:rPr>
        <w:t>。</w:t>
      </w:r>
    </w:p>
    <w:p w14:paraId="386A719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（以下无正文）</w:t>
      </w:r>
    </w:p>
    <w:p w14:paraId="4D9FC74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甲方：                  乙方：</w:t>
      </w:r>
    </w:p>
    <w:p w14:paraId="7AC223F1">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住所：                  住所：</w:t>
      </w:r>
    </w:p>
    <w:p w14:paraId="0E0A6E06">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单位负责人：               位负责人：</w:t>
      </w:r>
    </w:p>
    <w:p w14:paraId="23F4374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委托代理人：               委托代理人：</w:t>
      </w:r>
    </w:p>
    <w:p w14:paraId="2EEE4C0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联系方法：                联系方法：</w:t>
      </w:r>
    </w:p>
    <w:p w14:paraId="509E932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开户银行：                开户银行：</w:t>
      </w:r>
    </w:p>
    <w:p w14:paraId="56195BC3">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账号：                  账号：</w:t>
      </w:r>
    </w:p>
    <w:p w14:paraId="17666382">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w:t>
      </w:r>
    </w:p>
    <w:p w14:paraId="280FB4B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签订地点：</w:t>
      </w:r>
      <w:r>
        <w:rPr>
          <w:rFonts w:hint="eastAsia" w:ascii="Times New Roman" w:hAnsi="Times New Roman" w:eastAsia="宋体" w:cs="Times New Roman"/>
          <w:color w:val="auto"/>
          <w:kern w:val="2"/>
          <w:sz w:val="24"/>
          <w:szCs w:val="24"/>
          <w:highlight w:val="none"/>
          <w:u w:val="single"/>
          <w:lang w:val="en-US" w:eastAsia="zh-CN" w:bidi="ar-SA"/>
        </w:rPr>
        <w:t>                </w:t>
      </w:r>
    </w:p>
    <w:p w14:paraId="2B163EA7">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left"/>
        <w:textAlignment w:val="auto"/>
        <w:rPr>
          <w:rFonts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签订日期：</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年</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月</w:t>
      </w:r>
      <w:r>
        <w:rPr>
          <w:rFonts w:hint="eastAsia" w:ascii="Times New Roman" w:hAnsi="Times New Roman" w:eastAsia="宋体" w:cs="Times New Roman"/>
          <w:color w:val="auto"/>
          <w:kern w:val="2"/>
          <w:sz w:val="24"/>
          <w:szCs w:val="24"/>
          <w:highlight w:val="none"/>
          <w:u w:val="single"/>
          <w:lang w:val="en-US" w:eastAsia="zh-CN" w:bidi="ar-SA"/>
        </w:rPr>
        <w:t>   </w:t>
      </w:r>
      <w:r>
        <w:rPr>
          <w:rFonts w:hint="eastAsia" w:ascii="Times New Roman" w:hAnsi="Times New Roman" w:eastAsia="宋体" w:cs="Times New Roman"/>
          <w:color w:val="auto"/>
          <w:kern w:val="2"/>
          <w:sz w:val="24"/>
          <w:szCs w:val="24"/>
          <w:highlight w:val="none"/>
          <w:lang w:val="en-US" w:eastAsia="zh-CN" w:bidi="ar-SA"/>
        </w:rPr>
        <w:t>日</w:t>
      </w:r>
    </w:p>
    <w:p w14:paraId="12861D7C">
      <w:pPr>
        <w:pStyle w:val="42"/>
        <w:spacing w:line="360" w:lineRule="auto"/>
        <w:jc w:val="center"/>
        <w:rPr>
          <w:color w:val="auto"/>
          <w:highlight w:val="none"/>
        </w:rPr>
      </w:pPr>
    </w:p>
    <w:p w14:paraId="1D4B6302">
      <w:pPr>
        <w:pStyle w:val="42"/>
        <w:spacing w:line="360" w:lineRule="auto"/>
        <w:jc w:val="center"/>
        <w:rPr>
          <w:color w:val="auto"/>
          <w:highlight w:val="none"/>
        </w:rPr>
      </w:pPr>
    </w:p>
    <w:p w14:paraId="54613229">
      <w:pPr>
        <w:pStyle w:val="42"/>
        <w:spacing w:line="360" w:lineRule="auto"/>
        <w:jc w:val="center"/>
        <w:rPr>
          <w:color w:val="auto"/>
          <w:highlight w:val="none"/>
        </w:rPr>
      </w:pPr>
    </w:p>
    <w:p w14:paraId="2839F313">
      <w:pPr>
        <w:pStyle w:val="42"/>
        <w:spacing w:line="360" w:lineRule="auto"/>
        <w:jc w:val="center"/>
        <w:rPr>
          <w:color w:val="auto"/>
          <w:highlight w:val="none"/>
        </w:rPr>
      </w:pPr>
    </w:p>
    <w:p w14:paraId="0CF5B4B4">
      <w:pPr>
        <w:pStyle w:val="42"/>
        <w:spacing w:line="360" w:lineRule="auto"/>
        <w:jc w:val="center"/>
        <w:rPr>
          <w:color w:val="auto"/>
          <w:highlight w:val="none"/>
        </w:rPr>
      </w:pPr>
    </w:p>
    <w:p w14:paraId="79F73261">
      <w:pPr>
        <w:pStyle w:val="42"/>
        <w:spacing w:line="360" w:lineRule="auto"/>
        <w:jc w:val="center"/>
        <w:rPr>
          <w:color w:val="auto"/>
          <w:highlight w:val="none"/>
        </w:rPr>
      </w:pPr>
    </w:p>
    <w:p w14:paraId="64639445">
      <w:pPr>
        <w:pStyle w:val="42"/>
        <w:spacing w:line="360" w:lineRule="auto"/>
        <w:jc w:val="center"/>
        <w:rPr>
          <w:color w:val="auto"/>
          <w:highlight w:val="none"/>
        </w:rPr>
      </w:pPr>
    </w:p>
    <w:p w14:paraId="31815988">
      <w:pPr>
        <w:pStyle w:val="42"/>
        <w:spacing w:line="360" w:lineRule="auto"/>
        <w:jc w:val="center"/>
        <w:rPr>
          <w:color w:val="auto"/>
          <w:highlight w:val="none"/>
        </w:rPr>
      </w:pPr>
    </w:p>
    <w:p w14:paraId="07E3E76E">
      <w:pPr>
        <w:pStyle w:val="42"/>
        <w:spacing w:line="360" w:lineRule="auto"/>
        <w:jc w:val="center"/>
        <w:rPr>
          <w:color w:val="auto"/>
          <w:highlight w:val="none"/>
        </w:rPr>
      </w:pPr>
    </w:p>
    <w:p w14:paraId="481446C4">
      <w:pPr>
        <w:pStyle w:val="42"/>
        <w:spacing w:line="360" w:lineRule="auto"/>
        <w:jc w:val="center"/>
        <w:rPr>
          <w:color w:val="auto"/>
          <w:highlight w:val="none"/>
        </w:rPr>
      </w:pPr>
    </w:p>
    <w:p w14:paraId="51DE5973">
      <w:pPr>
        <w:pStyle w:val="42"/>
        <w:spacing w:line="360" w:lineRule="auto"/>
        <w:jc w:val="center"/>
        <w:rPr>
          <w:color w:val="auto"/>
          <w:highlight w:val="none"/>
        </w:rPr>
      </w:pPr>
    </w:p>
    <w:p w14:paraId="4F2461C5">
      <w:pPr>
        <w:pStyle w:val="42"/>
        <w:spacing w:line="360" w:lineRule="auto"/>
        <w:jc w:val="center"/>
        <w:rPr>
          <w:color w:val="auto"/>
          <w:highlight w:val="none"/>
        </w:rPr>
      </w:pPr>
    </w:p>
    <w:p w14:paraId="73A9894D">
      <w:pPr>
        <w:pStyle w:val="42"/>
        <w:spacing w:line="360" w:lineRule="auto"/>
        <w:jc w:val="center"/>
        <w:rPr>
          <w:color w:val="auto"/>
          <w:highlight w:val="none"/>
        </w:rPr>
      </w:pPr>
    </w:p>
    <w:p w14:paraId="76D89244">
      <w:pPr>
        <w:pStyle w:val="42"/>
        <w:spacing w:line="360" w:lineRule="auto"/>
        <w:jc w:val="center"/>
        <w:rPr>
          <w:color w:val="auto"/>
          <w:highlight w:val="none"/>
        </w:rPr>
      </w:pPr>
    </w:p>
    <w:p w14:paraId="411470DE">
      <w:pPr>
        <w:pStyle w:val="42"/>
        <w:spacing w:line="360" w:lineRule="auto"/>
        <w:jc w:val="center"/>
        <w:rPr>
          <w:color w:val="auto"/>
          <w:highlight w:val="none"/>
        </w:rPr>
      </w:pPr>
    </w:p>
    <w:p w14:paraId="6B983FC0">
      <w:pPr>
        <w:pStyle w:val="42"/>
        <w:spacing w:line="360" w:lineRule="auto"/>
        <w:jc w:val="center"/>
        <w:rPr>
          <w:color w:val="auto"/>
          <w:highlight w:val="none"/>
        </w:rPr>
      </w:pPr>
    </w:p>
    <w:p w14:paraId="4547833B">
      <w:pPr>
        <w:pStyle w:val="42"/>
        <w:spacing w:line="360" w:lineRule="auto"/>
        <w:jc w:val="center"/>
        <w:rPr>
          <w:color w:val="auto"/>
          <w:highlight w:val="none"/>
        </w:rPr>
      </w:pPr>
    </w:p>
    <w:p w14:paraId="4570EDEA">
      <w:pPr>
        <w:pStyle w:val="42"/>
        <w:spacing w:line="360" w:lineRule="auto"/>
        <w:jc w:val="center"/>
        <w:rPr>
          <w:color w:val="auto"/>
          <w:highlight w:val="none"/>
        </w:rPr>
      </w:pPr>
    </w:p>
    <w:p w14:paraId="7FD08BC8">
      <w:pPr>
        <w:pStyle w:val="42"/>
        <w:spacing w:line="360" w:lineRule="auto"/>
        <w:jc w:val="center"/>
        <w:rPr>
          <w:color w:val="auto"/>
          <w:highlight w:val="none"/>
        </w:rPr>
      </w:pPr>
    </w:p>
    <w:p w14:paraId="05352A9E">
      <w:pPr>
        <w:pStyle w:val="42"/>
        <w:spacing w:line="360" w:lineRule="auto"/>
        <w:jc w:val="center"/>
        <w:rPr>
          <w:color w:val="auto"/>
          <w:highlight w:val="none"/>
        </w:rPr>
      </w:pPr>
    </w:p>
    <w:p w14:paraId="51D677B7">
      <w:pPr>
        <w:pStyle w:val="42"/>
        <w:spacing w:line="360" w:lineRule="auto"/>
        <w:jc w:val="center"/>
        <w:rPr>
          <w:color w:val="auto"/>
          <w:highlight w:val="none"/>
        </w:rPr>
      </w:pPr>
    </w:p>
    <w:p w14:paraId="27F125C2">
      <w:pPr>
        <w:pStyle w:val="42"/>
        <w:spacing w:line="360" w:lineRule="auto"/>
        <w:jc w:val="center"/>
        <w:rPr>
          <w:color w:val="auto"/>
          <w:highlight w:val="none"/>
        </w:rPr>
      </w:pPr>
    </w:p>
    <w:p w14:paraId="4939BC55">
      <w:pPr>
        <w:pStyle w:val="42"/>
        <w:spacing w:line="360" w:lineRule="auto"/>
        <w:jc w:val="center"/>
        <w:rPr>
          <w:color w:val="auto"/>
          <w:highlight w:val="none"/>
        </w:rPr>
      </w:pPr>
    </w:p>
    <w:p w14:paraId="72A19A8B">
      <w:pPr>
        <w:pStyle w:val="42"/>
        <w:spacing w:line="360" w:lineRule="auto"/>
        <w:jc w:val="center"/>
        <w:rPr>
          <w:color w:val="auto"/>
          <w:highlight w:val="none"/>
        </w:rPr>
      </w:pPr>
    </w:p>
    <w:p w14:paraId="7F532725">
      <w:pPr>
        <w:pStyle w:val="42"/>
        <w:spacing w:line="360" w:lineRule="auto"/>
        <w:jc w:val="center"/>
        <w:rPr>
          <w:color w:val="auto"/>
          <w:highlight w:val="none"/>
        </w:rPr>
      </w:pPr>
    </w:p>
    <w:p w14:paraId="578BCD98">
      <w:pPr>
        <w:pStyle w:val="42"/>
        <w:spacing w:line="360" w:lineRule="auto"/>
        <w:jc w:val="center"/>
        <w:rPr>
          <w:color w:val="auto"/>
          <w:highlight w:val="none"/>
        </w:rPr>
      </w:pPr>
    </w:p>
    <w:p w14:paraId="38275613">
      <w:pPr>
        <w:pStyle w:val="42"/>
        <w:spacing w:line="360" w:lineRule="auto"/>
        <w:jc w:val="center"/>
        <w:rPr>
          <w:color w:val="auto"/>
          <w:highlight w:val="none"/>
        </w:rPr>
      </w:pPr>
    </w:p>
    <w:p w14:paraId="345A430E">
      <w:pPr>
        <w:pStyle w:val="42"/>
        <w:spacing w:line="360" w:lineRule="auto"/>
        <w:jc w:val="center"/>
        <w:rPr>
          <w:color w:val="auto"/>
          <w:highlight w:val="none"/>
        </w:rPr>
      </w:pPr>
    </w:p>
    <w:p w14:paraId="5C663D07">
      <w:pPr>
        <w:pStyle w:val="42"/>
        <w:spacing w:line="360" w:lineRule="auto"/>
        <w:jc w:val="center"/>
        <w:rPr>
          <w:color w:val="auto"/>
          <w:highlight w:val="none"/>
        </w:rPr>
      </w:pPr>
    </w:p>
    <w:p w14:paraId="0F6D3D69">
      <w:pPr>
        <w:pStyle w:val="42"/>
        <w:spacing w:line="360" w:lineRule="auto"/>
        <w:jc w:val="center"/>
        <w:rPr>
          <w:color w:val="auto"/>
          <w:highlight w:val="none"/>
        </w:rPr>
      </w:pPr>
    </w:p>
    <w:p w14:paraId="55A66518">
      <w:pPr>
        <w:pStyle w:val="42"/>
        <w:spacing w:line="360" w:lineRule="auto"/>
        <w:jc w:val="center"/>
        <w:rPr>
          <w:color w:val="auto"/>
          <w:highlight w:val="none"/>
        </w:rPr>
      </w:pPr>
    </w:p>
    <w:p w14:paraId="1E899E23">
      <w:pPr>
        <w:pStyle w:val="42"/>
        <w:spacing w:line="360" w:lineRule="auto"/>
        <w:jc w:val="center"/>
        <w:rPr>
          <w:color w:val="auto"/>
          <w:highlight w:val="none"/>
        </w:rPr>
      </w:pPr>
    </w:p>
    <w:p w14:paraId="0CD67D6E">
      <w:pPr>
        <w:pStyle w:val="42"/>
        <w:spacing w:line="360" w:lineRule="auto"/>
        <w:jc w:val="center"/>
        <w:rPr>
          <w:rFonts w:ascii="宋体" w:hAnsi="宋体"/>
          <w:b/>
          <w:bCs/>
          <w:color w:val="auto"/>
          <w:sz w:val="36"/>
          <w:szCs w:val="36"/>
          <w:highlight w:val="none"/>
        </w:rPr>
      </w:pPr>
      <w:r>
        <w:rPr>
          <w:color w:val="auto"/>
          <w:highlight w:val="none"/>
        </w:rPr>
        <w:t xml:space="preserve"> </w:t>
      </w:r>
      <w:r>
        <w:rPr>
          <w:rFonts w:hint="eastAsia" w:ascii="宋体" w:hAnsi="宋体"/>
          <w:b/>
          <w:bCs/>
          <w:color w:val="auto"/>
          <w:sz w:val="36"/>
          <w:szCs w:val="36"/>
          <w:highlight w:val="none"/>
        </w:rPr>
        <w:t>第五章  投标文件格式</w:t>
      </w:r>
    </w:p>
    <w:p w14:paraId="0228124E">
      <w:pPr>
        <w:spacing w:line="360" w:lineRule="auto"/>
        <w:jc w:val="center"/>
        <w:rPr>
          <w:rFonts w:ascii="宋体" w:hAnsi="宋体"/>
          <w:b/>
          <w:color w:val="auto"/>
          <w:sz w:val="36"/>
          <w:highlight w:val="none"/>
        </w:rPr>
      </w:pPr>
    </w:p>
    <w:p w14:paraId="796B33F5">
      <w:pPr>
        <w:rPr>
          <w:rFonts w:ascii="宋体" w:hAnsi="宋体"/>
          <w:color w:val="auto"/>
          <w:sz w:val="24"/>
          <w:highlight w:val="none"/>
        </w:rPr>
      </w:pPr>
    </w:p>
    <w:p w14:paraId="38B51E76">
      <w:pPr>
        <w:rPr>
          <w:rFonts w:ascii="宋体" w:hAnsi="宋体"/>
          <w:color w:val="auto"/>
          <w:sz w:val="24"/>
          <w:highlight w:val="none"/>
        </w:rPr>
      </w:pPr>
    </w:p>
    <w:p w14:paraId="048FF1BD">
      <w:pPr>
        <w:rPr>
          <w:rFonts w:ascii="宋体" w:hAnsi="宋体"/>
          <w:color w:val="auto"/>
          <w:sz w:val="24"/>
          <w:highlight w:val="none"/>
        </w:rPr>
      </w:pPr>
    </w:p>
    <w:p w14:paraId="3B5F8B08">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14:paraId="6348EB27">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1、本附件格式分第一册“技术商务部分格式”和第二册“报价部分格式”两册,胶装时第一册和第二册均须单独胶装。</w:t>
      </w:r>
    </w:p>
    <w:p w14:paraId="32C3011D">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2、本章格式供投标人制作投标文件时使用,投标人可根据行业特点,结合本次招标技术规格要求,对有关表格进行补充或扩展,但不得对实质性条款作出变动。</w:t>
      </w:r>
    </w:p>
    <w:p w14:paraId="4E65C1A5">
      <w:pPr>
        <w:pStyle w:val="7"/>
        <w:spacing w:line="480" w:lineRule="exact"/>
        <w:rPr>
          <w:rFonts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u w:val="double"/>
        </w:rPr>
        <w:t>投标人必须将技术商务部分和报价部分分别单独胶装，密封投标，且技术商务部分中不得出现投标报价的信息，否则该投标人将被视为无效投标。</w:t>
      </w:r>
    </w:p>
    <w:p w14:paraId="68358035">
      <w:pPr>
        <w:pStyle w:val="7"/>
        <w:spacing w:line="360" w:lineRule="auto"/>
        <w:rPr>
          <w:rFonts w:ascii="宋体" w:hAnsi="宋体" w:eastAsia="宋体"/>
          <w:b/>
          <w:color w:val="auto"/>
          <w:szCs w:val="30"/>
          <w:highlight w:val="none"/>
        </w:rPr>
      </w:pPr>
    </w:p>
    <w:p w14:paraId="4C417A61">
      <w:pPr>
        <w:rPr>
          <w:rFonts w:ascii="宋体" w:hAnsi="宋体"/>
          <w:color w:val="auto"/>
          <w:sz w:val="24"/>
          <w:highlight w:val="none"/>
        </w:rPr>
      </w:pPr>
    </w:p>
    <w:p w14:paraId="2312C4CB">
      <w:pPr>
        <w:rPr>
          <w:rFonts w:ascii="宋体" w:hAnsi="宋体"/>
          <w:color w:val="auto"/>
          <w:sz w:val="24"/>
          <w:highlight w:val="none"/>
        </w:rPr>
      </w:pPr>
    </w:p>
    <w:p w14:paraId="14E220FC">
      <w:pPr>
        <w:rPr>
          <w:rFonts w:ascii="宋体" w:hAnsi="宋体"/>
          <w:color w:val="auto"/>
          <w:sz w:val="24"/>
          <w:highlight w:val="none"/>
        </w:rPr>
      </w:pPr>
    </w:p>
    <w:p w14:paraId="5FA29995">
      <w:pPr>
        <w:rPr>
          <w:rFonts w:ascii="宋体" w:hAnsi="宋体"/>
          <w:color w:val="auto"/>
          <w:sz w:val="24"/>
          <w:highlight w:val="none"/>
        </w:rPr>
      </w:pPr>
    </w:p>
    <w:p w14:paraId="1BB19ED6">
      <w:pPr>
        <w:rPr>
          <w:rFonts w:ascii="宋体" w:hAnsi="宋体"/>
          <w:color w:val="auto"/>
          <w:sz w:val="24"/>
          <w:highlight w:val="none"/>
        </w:rPr>
      </w:pPr>
    </w:p>
    <w:p w14:paraId="2C49D4AC">
      <w:pPr>
        <w:pStyle w:val="8"/>
        <w:spacing w:line="1200" w:lineRule="exact"/>
        <w:ind w:firstLine="0"/>
        <w:jc w:val="center"/>
        <w:rPr>
          <w:b/>
          <w:bCs/>
          <w:color w:val="auto"/>
          <w:sz w:val="84"/>
          <w:szCs w:val="84"/>
          <w:highlight w:val="none"/>
        </w:rPr>
      </w:pPr>
    </w:p>
    <w:p w14:paraId="66D8C968">
      <w:pPr>
        <w:pStyle w:val="8"/>
        <w:spacing w:line="1200" w:lineRule="exact"/>
        <w:ind w:firstLine="0"/>
        <w:jc w:val="center"/>
        <w:rPr>
          <w:b/>
          <w:bCs/>
          <w:color w:val="auto"/>
          <w:sz w:val="84"/>
          <w:szCs w:val="84"/>
          <w:highlight w:val="none"/>
        </w:rPr>
      </w:pPr>
    </w:p>
    <w:p w14:paraId="194E35EE">
      <w:pPr>
        <w:pStyle w:val="8"/>
        <w:spacing w:line="1200" w:lineRule="exact"/>
        <w:ind w:firstLine="0"/>
        <w:jc w:val="center"/>
        <w:rPr>
          <w:b/>
          <w:bCs/>
          <w:color w:val="auto"/>
          <w:sz w:val="84"/>
          <w:szCs w:val="84"/>
          <w:highlight w:val="none"/>
        </w:rPr>
      </w:pPr>
    </w:p>
    <w:p w14:paraId="1B821B82">
      <w:pPr>
        <w:pStyle w:val="8"/>
        <w:spacing w:line="1200" w:lineRule="exact"/>
        <w:ind w:firstLine="0"/>
        <w:jc w:val="center"/>
        <w:rPr>
          <w:b/>
          <w:bCs/>
          <w:color w:val="auto"/>
          <w:sz w:val="84"/>
          <w:szCs w:val="84"/>
          <w:highlight w:val="none"/>
        </w:rPr>
      </w:pPr>
    </w:p>
    <w:p w14:paraId="6F3AF1AE">
      <w:pPr>
        <w:pStyle w:val="8"/>
        <w:spacing w:line="1200" w:lineRule="exact"/>
        <w:ind w:firstLine="0"/>
        <w:jc w:val="center"/>
        <w:rPr>
          <w:b/>
          <w:bCs/>
          <w:color w:val="auto"/>
          <w:sz w:val="84"/>
          <w:szCs w:val="84"/>
          <w:highlight w:val="none"/>
        </w:rPr>
      </w:pPr>
    </w:p>
    <w:p w14:paraId="0D159B69">
      <w:pPr>
        <w:pStyle w:val="8"/>
        <w:spacing w:line="1200" w:lineRule="exact"/>
        <w:ind w:firstLine="0"/>
        <w:jc w:val="right"/>
        <w:rPr>
          <w:b/>
          <w:bCs/>
          <w:color w:val="auto"/>
          <w:sz w:val="52"/>
          <w:szCs w:val="52"/>
          <w:highlight w:val="none"/>
        </w:rPr>
      </w:pPr>
      <w:r>
        <w:rPr>
          <w:rFonts w:hint="eastAsia"/>
          <w:b/>
          <w:bCs/>
          <w:color w:val="auto"/>
          <w:sz w:val="52"/>
          <w:szCs w:val="52"/>
          <w:highlight w:val="none"/>
        </w:rPr>
        <w:t>正本/副本</w:t>
      </w:r>
    </w:p>
    <w:p w14:paraId="08B8CB3A">
      <w:pPr>
        <w:pStyle w:val="8"/>
        <w:spacing w:line="1200" w:lineRule="exact"/>
        <w:ind w:firstLine="0"/>
        <w:jc w:val="right"/>
        <w:rPr>
          <w:b/>
          <w:bCs/>
          <w:color w:val="auto"/>
          <w:sz w:val="52"/>
          <w:szCs w:val="52"/>
          <w:highlight w:val="none"/>
        </w:rPr>
      </w:pPr>
    </w:p>
    <w:p w14:paraId="78F04B90">
      <w:pPr>
        <w:pStyle w:val="8"/>
        <w:spacing w:line="1200" w:lineRule="exact"/>
        <w:ind w:firstLine="0"/>
        <w:jc w:val="center"/>
        <w:rPr>
          <w:b/>
          <w:bCs/>
          <w:color w:val="auto"/>
          <w:sz w:val="84"/>
          <w:szCs w:val="84"/>
          <w:highlight w:val="none"/>
        </w:rPr>
      </w:pPr>
      <w:r>
        <w:rPr>
          <w:rFonts w:hint="eastAsia"/>
          <w:b/>
          <w:bCs/>
          <w:color w:val="auto"/>
          <w:sz w:val="84"/>
          <w:szCs w:val="84"/>
          <w:highlight w:val="none"/>
        </w:rPr>
        <w:t>投  标  文  件</w:t>
      </w:r>
    </w:p>
    <w:p w14:paraId="17F63EC9">
      <w:pPr>
        <w:pStyle w:val="8"/>
        <w:spacing w:line="1200" w:lineRule="exact"/>
        <w:ind w:firstLine="0"/>
        <w:jc w:val="center"/>
        <w:rPr>
          <w:b/>
          <w:bCs/>
          <w:color w:val="auto"/>
          <w:sz w:val="72"/>
          <w:szCs w:val="72"/>
          <w:highlight w:val="none"/>
        </w:rPr>
      </w:pPr>
      <w:r>
        <w:rPr>
          <w:rFonts w:hint="eastAsia"/>
          <w:b/>
          <w:bCs/>
          <w:color w:val="auto"/>
          <w:sz w:val="72"/>
          <w:szCs w:val="72"/>
          <w:highlight w:val="none"/>
        </w:rPr>
        <w:t>第一册 技术商务部分</w:t>
      </w:r>
    </w:p>
    <w:p w14:paraId="4D979DE1">
      <w:pPr>
        <w:pStyle w:val="8"/>
        <w:ind w:firstLine="0"/>
        <w:rPr>
          <w:color w:val="auto"/>
          <w:highlight w:val="none"/>
        </w:rPr>
      </w:pPr>
    </w:p>
    <w:p w14:paraId="0DBC42FA">
      <w:pPr>
        <w:pStyle w:val="10"/>
        <w:spacing w:line="360" w:lineRule="auto"/>
        <w:ind w:firstLine="1428" w:firstLineChars="395"/>
        <w:rPr>
          <w:rFonts w:hAnsi="宋体"/>
          <w:b/>
          <w:color w:val="auto"/>
          <w:sz w:val="36"/>
          <w:szCs w:val="36"/>
          <w:highlight w:val="none"/>
          <w:u w:val="single"/>
        </w:rPr>
      </w:pPr>
      <w:r>
        <w:rPr>
          <w:rFonts w:hint="eastAsia" w:hAnsi="宋体"/>
          <w:b/>
          <w:bCs/>
          <w:color w:val="auto"/>
          <w:sz w:val="36"/>
          <w:szCs w:val="36"/>
          <w:highlight w:val="none"/>
          <w:lang w:eastAsia="zh-CN"/>
        </w:rPr>
        <w:t>项目编号</w:t>
      </w:r>
      <w:r>
        <w:rPr>
          <w:rFonts w:hint="eastAsia" w:hAnsi="宋体"/>
          <w:b/>
          <w:bCs/>
          <w:color w:val="auto"/>
          <w:sz w:val="36"/>
          <w:szCs w:val="36"/>
          <w:highlight w:val="none"/>
        </w:rPr>
        <w:t>：</w:t>
      </w:r>
    </w:p>
    <w:p w14:paraId="58E6E4F5">
      <w:pPr>
        <w:spacing w:line="360" w:lineRule="auto"/>
        <w:ind w:firstLine="1435" w:firstLineChars="397"/>
        <w:rPr>
          <w:rFonts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none"/>
        </w:rPr>
        <w:t>：</w:t>
      </w:r>
    </w:p>
    <w:p w14:paraId="48D86D43">
      <w:pPr>
        <w:pStyle w:val="10"/>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合 同 包：</w:t>
      </w:r>
    </w:p>
    <w:p w14:paraId="3CFE5E34">
      <w:pPr>
        <w:pStyle w:val="10"/>
        <w:spacing w:line="360" w:lineRule="auto"/>
        <w:jc w:val="center"/>
        <w:rPr>
          <w:rFonts w:hAnsi="宋体"/>
          <w:b/>
          <w:color w:val="auto"/>
          <w:sz w:val="36"/>
          <w:szCs w:val="36"/>
          <w:highlight w:val="none"/>
        </w:rPr>
      </w:pPr>
    </w:p>
    <w:p w14:paraId="4BDE9C17">
      <w:pPr>
        <w:pStyle w:val="10"/>
        <w:spacing w:line="360" w:lineRule="auto"/>
        <w:jc w:val="center"/>
        <w:rPr>
          <w:rFonts w:hAnsi="宋体"/>
          <w:b/>
          <w:color w:val="auto"/>
          <w:sz w:val="36"/>
          <w:szCs w:val="36"/>
          <w:highlight w:val="none"/>
        </w:rPr>
      </w:pPr>
    </w:p>
    <w:p w14:paraId="48FAE8C7">
      <w:pPr>
        <w:pStyle w:val="10"/>
        <w:spacing w:line="360" w:lineRule="auto"/>
        <w:jc w:val="center"/>
        <w:rPr>
          <w:rFonts w:hAnsi="宋体"/>
          <w:b/>
          <w:color w:val="auto"/>
          <w:sz w:val="36"/>
          <w:szCs w:val="36"/>
          <w:highlight w:val="none"/>
        </w:rPr>
      </w:pPr>
    </w:p>
    <w:p w14:paraId="427EE1E0">
      <w:pPr>
        <w:pStyle w:val="10"/>
        <w:spacing w:line="360" w:lineRule="auto"/>
        <w:jc w:val="center"/>
        <w:rPr>
          <w:rFonts w:hAnsi="宋体"/>
          <w:b/>
          <w:color w:val="auto"/>
          <w:sz w:val="36"/>
          <w:szCs w:val="36"/>
          <w:highlight w:val="none"/>
        </w:rPr>
      </w:pPr>
    </w:p>
    <w:p w14:paraId="7B4104F3">
      <w:pPr>
        <w:pStyle w:val="10"/>
        <w:tabs>
          <w:tab w:val="left" w:pos="1620"/>
        </w:tabs>
        <w:spacing w:line="360" w:lineRule="auto"/>
        <w:ind w:firstLine="1397" w:firstLineChars="348"/>
        <w:rPr>
          <w:rFonts w:hAnsi="宋体"/>
          <w:b/>
          <w:color w:val="auto"/>
          <w:sz w:val="36"/>
          <w:szCs w:val="36"/>
          <w:highlight w:val="none"/>
          <w:u w:val="single"/>
        </w:rPr>
      </w:pPr>
      <w:r>
        <w:rPr>
          <w:rFonts w:hint="eastAsia" w:hAnsi="宋体"/>
          <w:b/>
          <w:color w:val="auto"/>
          <w:spacing w:val="20"/>
          <w:sz w:val="36"/>
          <w:szCs w:val="36"/>
          <w:highlight w:val="none"/>
        </w:rPr>
        <w:t>投标人名称（</w:t>
      </w:r>
      <w:r>
        <w:rPr>
          <w:rFonts w:hint="eastAsia" w:hAnsi="宋体"/>
          <w:b/>
          <w:color w:val="auto"/>
          <w:spacing w:val="20"/>
          <w:sz w:val="36"/>
          <w:szCs w:val="36"/>
          <w:highlight w:val="none"/>
          <w:lang w:eastAsia="zh-CN"/>
        </w:rPr>
        <w:t>加</w:t>
      </w:r>
      <w:r>
        <w:rPr>
          <w:rFonts w:hint="eastAsia" w:hAnsi="宋体"/>
          <w:b/>
          <w:color w:val="auto"/>
          <w:spacing w:val="20"/>
          <w:sz w:val="36"/>
          <w:szCs w:val="36"/>
          <w:highlight w:val="none"/>
        </w:rPr>
        <w:t>盖公章）</w:t>
      </w:r>
      <w:r>
        <w:rPr>
          <w:rFonts w:hint="eastAsia" w:hAnsi="宋体"/>
          <w:b/>
          <w:bCs/>
          <w:color w:val="auto"/>
          <w:sz w:val="36"/>
          <w:szCs w:val="36"/>
          <w:highlight w:val="none"/>
        </w:rPr>
        <w:t>：</w:t>
      </w:r>
    </w:p>
    <w:p w14:paraId="38F9877D">
      <w:pPr>
        <w:pStyle w:val="10"/>
        <w:tabs>
          <w:tab w:val="left" w:pos="1620"/>
        </w:tabs>
        <w:spacing w:line="360" w:lineRule="auto"/>
        <w:ind w:firstLine="1438" w:firstLineChars="398"/>
        <w:rPr>
          <w:rFonts w:hAnsi="宋体"/>
          <w:b/>
          <w:bCs/>
          <w:color w:val="auto"/>
          <w:sz w:val="36"/>
          <w:szCs w:val="36"/>
          <w:highlight w:val="none"/>
          <w:u w:val="single"/>
        </w:rPr>
      </w:pPr>
      <w:r>
        <w:rPr>
          <w:rFonts w:hint="eastAsia" w:hAnsi="宋体"/>
          <w:b/>
          <w:bCs/>
          <w:color w:val="auto"/>
          <w:sz w:val="36"/>
          <w:szCs w:val="36"/>
          <w:highlight w:val="none"/>
        </w:rPr>
        <w:t>联系电话：</w:t>
      </w:r>
    </w:p>
    <w:p w14:paraId="200202DF">
      <w:pPr>
        <w:pStyle w:val="10"/>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授权代表人（签字）：</w:t>
      </w:r>
    </w:p>
    <w:p w14:paraId="241FEBF7">
      <w:pPr>
        <w:pStyle w:val="10"/>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联系地址：</w:t>
      </w:r>
    </w:p>
    <w:p w14:paraId="219DB63A">
      <w:pPr>
        <w:pStyle w:val="10"/>
        <w:tabs>
          <w:tab w:val="left" w:pos="1620"/>
        </w:tabs>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14:paraId="34B8DCD3">
      <w:pPr>
        <w:spacing w:line="360" w:lineRule="auto"/>
        <w:rPr>
          <w:rFonts w:ascii="宋体" w:hAnsi="宋体"/>
          <w:color w:val="auto"/>
          <w:sz w:val="24"/>
          <w:highlight w:val="none"/>
        </w:rPr>
      </w:pPr>
    </w:p>
    <w:p w14:paraId="496438FE">
      <w:pPr>
        <w:spacing w:line="360" w:lineRule="auto"/>
        <w:rPr>
          <w:rFonts w:ascii="宋体" w:hAnsi="宋体"/>
          <w:color w:val="auto"/>
          <w:sz w:val="24"/>
          <w:highlight w:val="none"/>
        </w:rPr>
      </w:pPr>
    </w:p>
    <w:p w14:paraId="6335F7E1">
      <w:pPr>
        <w:pStyle w:val="8"/>
        <w:spacing w:line="360" w:lineRule="auto"/>
        <w:ind w:firstLine="0"/>
        <w:jc w:val="center"/>
        <w:rPr>
          <w:b/>
          <w:bCs/>
          <w:color w:val="auto"/>
          <w:sz w:val="32"/>
          <w:szCs w:val="32"/>
          <w:highlight w:val="none"/>
        </w:rPr>
      </w:pPr>
      <w:r>
        <w:rPr>
          <w:rFonts w:hint="eastAsia"/>
          <w:b/>
          <w:bCs/>
          <w:color w:val="auto"/>
          <w:sz w:val="32"/>
          <w:szCs w:val="32"/>
          <w:highlight w:val="none"/>
        </w:rPr>
        <w:t>第一册 技术商务部分</w:t>
      </w:r>
    </w:p>
    <w:p w14:paraId="60F8E1FB">
      <w:pPr>
        <w:pStyle w:val="5"/>
        <w:snapToGrid w:val="0"/>
        <w:spacing w:line="420" w:lineRule="atLeast"/>
        <w:ind w:left="-2" w:leftChars="-1" w:firstLine="0" w:firstLineChars="0"/>
        <w:jc w:val="center"/>
        <w:rPr>
          <w:rFonts w:ascii="宋体" w:hAnsi="宋体"/>
          <w:b/>
          <w:bCs/>
          <w:color w:val="auto"/>
          <w:sz w:val="36"/>
          <w:szCs w:val="36"/>
          <w:highlight w:val="none"/>
        </w:rPr>
      </w:pPr>
    </w:p>
    <w:p w14:paraId="03A94BD7">
      <w:pPr>
        <w:pStyle w:val="5"/>
        <w:snapToGrid w:val="0"/>
        <w:spacing w:line="420" w:lineRule="atLeast"/>
        <w:ind w:left="-2" w:leftChars="-1" w:firstLine="0" w:firstLineChars="0"/>
        <w:jc w:val="center"/>
        <w:rPr>
          <w:rFonts w:ascii="宋体" w:hAnsi="宋体"/>
          <w:color w:val="auto"/>
          <w:highlight w:val="none"/>
        </w:rPr>
      </w:pPr>
      <w:r>
        <w:rPr>
          <w:rFonts w:hint="eastAsia" w:ascii="宋体" w:hAnsi="宋体"/>
          <w:b/>
          <w:bCs/>
          <w:color w:val="auto"/>
          <w:sz w:val="36"/>
          <w:szCs w:val="36"/>
          <w:highlight w:val="none"/>
        </w:rPr>
        <w:t>目    录</w:t>
      </w:r>
    </w:p>
    <w:p w14:paraId="5BB6F048">
      <w:pPr>
        <w:spacing w:line="480" w:lineRule="exact"/>
        <w:rPr>
          <w:rFonts w:ascii="宋体" w:hAnsi="宋体"/>
          <w:color w:val="auto"/>
          <w:sz w:val="24"/>
          <w:highlight w:val="none"/>
        </w:rPr>
      </w:pPr>
    </w:p>
    <w:p w14:paraId="678C0F94">
      <w:pPr>
        <w:spacing w:line="360" w:lineRule="auto"/>
        <w:rPr>
          <w:rFonts w:ascii="宋体" w:hAnsi="宋体" w:cs="宋体"/>
          <w:bCs/>
          <w:color w:val="auto"/>
          <w:sz w:val="24"/>
          <w:highlight w:val="none"/>
        </w:rPr>
      </w:pPr>
      <w:r>
        <w:rPr>
          <w:rFonts w:hint="eastAsia" w:ascii="宋体" w:hAnsi="宋体" w:cs="宋体"/>
          <w:bCs/>
          <w:color w:val="auto"/>
          <w:sz w:val="24"/>
          <w:highlight w:val="none"/>
        </w:rPr>
        <w:t>一、投标人的资格证明文件</w:t>
      </w:r>
    </w:p>
    <w:p w14:paraId="1FB7B5D9">
      <w:pPr>
        <w:spacing w:line="360" w:lineRule="auto"/>
        <w:rPr>
          <w:rFonts w:ascii="宋体" w:hAnsi="宋体" w:cs="宋体"/>
          <w:bCs/>
          <w:color w:val="auto"/>
          <w:sz w:val="24"/>
          <w:highlight w:val="none"/>
        </w:rPr>
      </w:pPr>
      <w:r>
        <w:rPr>
          <w:rFonts w:hint="eastAsia" w:ascii="宋体" w:hAnsi="宋体" w:cs="宋体"/>
          <w:bCs/>
          <w:color w:val="auto"/>
          <w:sz w:val="24"/>
          <w:highlight w:val="none"/>
        </w:rPr>
        <w:t>1、投标函</w:t>
      </w:r>
    </w:p>
    <w:p w14:paraId="2304EDB4">
      <w:pPr>
        <w:spacing w:line="360" w:lineRule="auto"/>
        <w:rPr>
          <w:rFonts w:ascii="宋体" w:hAnsi="宋体" w:cs="宋体"/>
          <w:bCs/>
          <w:color w:val="auto"/>
          <w:sz w:val="24"/>
          <w:highlight w:val="none"/>
        </w:rPr>
      </w:pPr>
      <w:r>
        <w:rPr>
          <w:rFonts w:hint="eastAsia" w:ascii="宋体" w:hAnsi="宋体" w:cs="宋体"/>
          <w:bCs/>
          <w:color w:val="auto"/>
          <w:sz w:val="24"/>
          <w:highlight w:val="none"/>
        </w:rPr>
        <w:t>2、关于资格的声明函</w:t>
      </w:r>
    </w:p>
    <w:p w14:paraId="01EDD4DA">
      <w:pPr>
        <w:spacing w:line="360" w:lineRule="auto"/>
        <w:rPr>
          <w:rFonts w:ascii="宋体" w:hAnsi="宋体" w:cs="宋体"/>
          <w:bCs/>
          <w:color w:val="auto"/>
          <w:sz w:val="24"/>
          <w:highlight w:val="none"/>
        </w:rPr>
      </w:pPr>
      <w:r>
        <w:rPr>
          <w:rFonts w:hint="eastAsia" w:ascii="宋体" w:hAnsi="宋体" w:cs="宋体"/>
          <w:bCs/>
          <w:color w:val="auto"/>
          <w:sz w:val="24"/>
          <w:highlight w:val="none"/>
        </w:rPr>
        <w:t>3、投标人的资格声明</w:t>
      </w:r>
    </w:p>
    <w:p w14:paraId="5939EC5A">
      <w:pPr>
        <w:spacing w:line="360" w:lineRule="auto"/>
        <w:jc w:val="left"/>
        <w:rPr>
          <w:rFonts w:ascii="宋体" w:hAnsi="宋体" w:cs="宋体"/>
          <w:bCs/>
          <w:color w:val="auto"/>
          <w:sz w:val="24"/>
          <w:highlight w:val="none"/>
        </w:rPr>
      </w:pPr>
      <w:r>
        <w:rPr>
          <w:rFonts w:hint="eastAsia" w:ascii="宋体" w:hAnsi="宋体" w:cs="宋体"/>
          <w:bCs/>
          <w:color w:val="auto"/>
          <w:sz w:val="24"/>
          <w:highlight w:val="none"/>
        </w:rPr>
        <w:t>4、投标人的资格证明材料</w:t>
      </w:r>
    </w:p>
    <w:p w14:paraId="079269AE">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4.1合格有效的营业执照复印件</w:t>
      </w:r>
    </w:p>
    <w:p w14:paraId="1A99B08A">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4.2</w:t>
      </w:r>
      <w:r>
        <w:rPr>
          <w:rFonts w:hint="eastAsia" w:hAnsi="宋体" w:cs="宋体"/>
          <w:bCs/>
          <w:color w:val="auto"/>
          <w:sz w:val="24"/>
          <w:highlight w:val="none"/>
          <w:lang w:eastAsia="zh-CN"/>
        </w:rPr>
        <w:t>法定代表人</w:t>
      </w:r>
      <w:r>
        <w:rPr>
          <w:rFonts w:hint="eastAsia" w:hAnsi="宋体" w:cs="宋体"/>
          <w:bCs/>
          <w:color w:val="auto"/>
          <w:sz w:val="24"/>
          <w:highlight w:val="none"/>
        </w:rPr>
        <w:t>授权书</w:t>
      </w:r>
    </w:p>
    <w:p w14:paraId="4ABBF300">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4.3投标人财务状况报告、依法缴纳税收和社会保障资金的相关材料</w:t>
      </w:r>
    </w:p>
    <w:p w14:paraId="037B3F9A">
      <w:pPr>
        <w:pStyle w:val="35"/>
        <w:spacing w:line="360" w:lineRule="auto"/>
        <w:jc w:val="left"/>
        <w:outlineLvl w:val="9"/>
        <w:rPr>
          <w:rFonts w:hAnsi="宋体" w:cs="宋体"/>
          <w:bCs/>
          <w:color w:val="auto"/>
          <w:sz w:val="24"/>
          <w:highlight w:val="none"/>
        </w:rPr>
      </w:pPr>
      <w:r>
        <w:rPr>
          <w:rFonts w:hint="eastAsia" w:hAnsi="宋体" w:cs="宋体"/>
          <w:bCs/>
          <w:color w:val="auto"/>
          <w:sz w:val="24"/>
          <w:highlight w:val="none"/>
        </w:rPr>
        <w:t>4.4声明函及承诺函</w:t>
      </w:r>
    </w:p>
    <w:p w14:paraId="36D635F9">
      <w:pPr>
        <w:spacing w:line="360" w:lineRule="auto"/>
        <w:rPr>
          <w:rFonts w:ascii="宋体" w:hAnsi="宋体" w:cs="宋体"/>
          <w:bCs/>
          <w:color w:val="auto"/>
          <w:sz w:val="24"/>
          <w:highlight w:val="none"/>
        </w:rPr>
      </w:pPr>
      <w:r>
        <w:rPr>
          <w:rFonts w:hint="eastAsia" w:ascii="宋体" w:hAnsi="宋体" w:cs="宋体"/>
          <w:bCs/>
          <w:color w:val="auto"/>
          <w:sz w:val="24"/>
          <w:highlight w:val="none"/>
        </w:rPr>
        <w:t>4.5投标人廉政承诺书</w:t>
      </w:r>
    </w:p>
    <w:p w14:paraId="0736762D">
      <w:pPr>
        <w:spacing w:line="360" w:lineRule="auto"/>
        <w:rPr>
          <w:rFonts w:ascii="宋体" w:hAnsi="宋体" w:cs="宋体"/>
          <w:bCs/>
          <w:color w:val="auto"/>
          <w:sz w:val="24"/>
          <w:highlight w:val="none"/>
        </w:rPr>
      </w:pPr>
      <w:r>
        <w:rPr>
          <w:rFonts w:hint="eastAsia" w:ascii="宋体" w:hAnsi="宋体" w:cs="宋体"/>
          <w:bCs/>
          <w:color w:val="auto"/>
          <w:sz w:val="24"/>
          <w:highlight w:val="none"/>
        </w:rPr>
        <w:t>4.6招标服务费承诺书</w:t>
      </w:r>
    </w:p>
    <w:p w14:paraId="4E063DFF">
      <w:pPr>
        <w:spacing w:line="360" w:lineRule="auto"/>
        <w:rPr>
          <w:rFonts w:ascii="宋体" w:hAnsi="宋体" w:cs="宋体"/>
          <w:bCs/>
          <w:color w:val="auto"/>
          <w:sz w:val="24"/>
          <w:highlight w:val="none"/>
        </w:rPr>
      </w:pPr>
      <w:r>
        <w:rPr>
          <w:rFonts w:hint="eastAsia" w:ascii="宋体" w:hAnsi="宋体" w:cs="宋体"/>
          <w:bCs/>
          <w:color w:val="auto"/>
          <w:sz w:val="24"/>
          <w:highlight w:val="none"/>
        </w:rPr>
        <w:t>4.7投标保证金复印件</w:t>
      </w:r>
    </w:p>
    <w:p w14:paraId="28690CAC">
      <w:pPr>
        <w:spacing w:line="360" w:lineRule="auto"/>
        <w:rPr>
          <w:rFonts w:ascii="宋体" w:hAnsi="宋体" w:cs="宋体"/>
          <w:bCs/>
          <w:color w:val="auto"/>
          <w:sz w:val="24"/>
          <w:highlight w:val="none"/>
        </w:rPr>
      </w:pPr>
      <w:r>
        <w:rPr>
          <w:rFonts w:hint="eastAsia" w:ascii="宋体" w:hAnsi="宋体" w:cs="宋体"/>
          <w:bCs/>
          <w:color w:val="auto"/>
          <w:sz w:val="24"/>
          <w:highlight w:val="none"/>
        </w:rPr>
        <w:t>4.8招标文件规定的其他资格证明材料</w:t>
      </w:r>
    </w:p>
    <w:p w14:paraId="2F46FD8D">
      <w:pPr>
        <w:spacing w:line="360" w:lineRule="auto"/>
        <w:rPr>
          <w:rFonts w:ascii="宋体" w:hAnsi="宋体" w:cs="宋体"/>
          <w:bCs/>
          <w:color w:val="auto"/>
          <w:sz w:val="24"/>
          <w:highlight w:val="none"/>
        </w:rPr>
      </w:pPr>
      <w:r>
        <w:rPr>
          <w:rFonts w:hint="eastAsia" w:ascii="宋体" w:hAnsi="宋体" w:cs="宋体"/>
          <w:bCs/>
          <w:color w:val="auto"/>
          <w:sz w:val="24"/>
          <w:highlight w:val="none"/>
        </w:rPr>
        <w:t>二、技术商务部分</w:t>
      </w:r>
    </w:p>
    <w:p w14:paraId="71AA9484">
      <w:pPr>
        <w:pStyle w:val="17"/>
        <w:spacing w:before="0" w:beforeAutospacing="0" w:after="0" w:afterAutospacing="0" w:line="360" w:lineRule="auto"/>
        <w:rPr>
          <w:bCs/>
          <w:color w:val="auto"/>
          <w:highlight w:val="none"/>
        </w:rPr>
      </w:pPr>
      <w:r>
        <w:rPr>
          <w:rFonts w:hint="eastAsia"/>
          <w:bCs/>
          <w:color w:val="auto"/>
          <w:highlight w:val="none"/>
        </w:rPr>
        <w:t>1、标的说明一览表</w:t>
      </w:r>
    </w:p>
    <w:p w14:paraId="289FF3FD">
      <w:pPr>
        <w:pStyle w:val="17"/>
        <w:spacing w:before="0" w:beforeAutospacing="0" w:after="0" w:afterAutospacing="0" w:line="360" w:lineRule="auto"/>
        <w:rPr>
          <w:bCs/>
          <w:color w:val="auto"/>
          <w:kern w:val="2"/>
          <w:highlight w:val="none"/>
        </w:rPr>
      </w:pPr>
      <w:r>
        <w:rPr>
          <w:rFonts w:hint="eastAsia"/>
          <w:bCs/>
          <w:color w:val="auto"/>
          <w:highlight w:val="none"/>
        </w:rPr>
        <w:t>2</w:t>
      </w:r>
      <w:r>
        <w:rPr>
          <w:rFonts w:hint="eastAsia"/>
          <w:bCs/>
          <w:color w:val="auto"/>
          <w:kern w:val="2"/>
          <w:highlight w:val="none"/>
        </w:rPr>
        <w:t>、技术和服务要求响应表</w:t>
      </w:r>
    </w:p>
    <w:p w14:paraId="2725042E">
      <w:pPr>
        <w:pStyle w:val="17"/>
        <w:spacing w:before="0" w:beforeAutospacing="0" w:after="0" w:afterAutospacing="0" w:line="360" w:lineRule="auto"/>
        <w:rPr>
          <w:bCs/>
          <w:color w:val="auto"/>
          <w:kern w:val="2"/>
          <w:highlight w:val="none"/>
        </w:rPr>
      </w:pPr>
      <w:r>
        <w:rPr>
          <w:rFonts w:hint="eastAsia"/>
          <w:bCs/>
          <w:color w:val="auto"/>
          <w:kern w:val="2"/>
          <w:highlight w:val="none"/>
        </w:rPr>
        <w:t>3、商务条件响应表</w:t>
      </w:r>
    </w:p>
    <w:p w14:paraId="0B1A754E">
      <w:pPr>
        <w:spacing w:line="360" w:lineRule="auto"/>
        <w:rPr>
          <w:color w:val="auto"/>
          <w:highlight w:val="none"/>
        </w:rPr>
      </w:pPr>
      <w:r>
        <w:rPr>
          <w:rFonts w:hint="eastAsia" w:ascii="宋体" w:hAnsi="宋体" w:cs="宋体"/>
          <w:bCs/>
          <w:color w:val="auto"/>
          <w:sz w:val="24"/>
          <w:highlight w:val="none"/>
        </w:rPr>
        <w:t>4、投标人认为应提交的其他资料</w:t>
      </w:r>
    </w:p>
    <w:p w14:paraId="49115E15">
      <w:pPr>
        <w:spacing w:line="480" w:lineRule="exact"/>
        <w:rPr>
          <w:rFonts w:ascii="宋体" w:hAnsi="宋体"/>
          <w:b/>
          <w:color w:val="auto"/>
          <w:sz w:val="24"/>
          <w:highlight w:val="none"/>
        </w:rPr>
      </w:pPr>
    </w:p>
    <w:p w14:paraId="3C2A0D6F">
      <w:pPr>
        <w:spacing w:line="480" w:lineRule="exact"/>
        <w:rPr>
          <w:rFonts w:ascii="宋体" w:hAnsi="宋体"/>
          <w:b/>
          <w:color w:val="auto"/>
          <w:sz w:val="24"/>
          <w:highlight w:val="none"/>
        </w:rPr>
      </w:pPr>
    </w:p>
    <w:p w14:paraId="4FB5F0A3">
      <w:pPr>
        <w:spacing w:line="480" w:lineRule="exact"/>
        <w:ind w:firstLine="601"/>
        <w:rPr>
          <w:rFonts w:ascii="宋体" w:hAnsi="宋体"/>
          <w:b/>
          <w:color w:val="auto"/>
          <w:sz w:val="24"/>
          <w:highlight w:val="none"/>
        </w:rPr>
      </w:pPr>
      <w:r>
        <w:rPr>
          <w:rFonts w:hint="eastAsia" w:ascii="宋体" w:hAnsi="宋体"/>
          <w:b/>
          <w:color w:val="auto"/>
          <w:sz w:val="24"/>
          <w:highlight w:val="none"/>
        </w:rPr>
        <w:t>注：须编制目录、页码</w:t>
      </w:r>
    </w:p>
    <w:p w14:paraId="54F53BA8">
      <w:pPr>
        <w:spacing w:line="0" w:lineRule="atLeast"/>
        <w:ind w:firstLine="600"/>
        <w:rPr>
          <w:rFonts w:ascii="宋体" w:hAnsi="宋体"/>
          <w:b/>
          <w:color w:val="auto"/>
          <w:szCs w:val="21"/>
          <w:highlight w:val="none"/>
        </w:rPr>
      </w:pPr>
    </w:p>
    <w:p w14:paraId="547159C8">
      <w:pPr>
        <w:spacing w:line="380" w:lineRule="exact"/>
        <w:jc w:val="center"/>
        <w:rPr>
          <w:rFonts w:ascii="宋体" w:hAnsi="宋体"/>
          <w:b/>
          <w:color w:val="auto"/>
          <w:sz w:val="36"/>
          <w:highlight w:val="none"/>
        </w:rPr>
      </w:pPr>
    </w:p>
    <w:p w14:paraId="73FB3BF8">
      <w:pPr>
        <w:spacing w:line="380" w:lineRule="exact"/>
        <w:jc w:val="center"/>
        <w:rPr>
          <w:rFonts w:ascii="宋体" w:hAnsi="宋体"/>
          <w:color w:val="auto"/>
          <w:highlight w:val="none"/>
        </w:rPr>
      </w:pPr>
      <w:r>
        <w:rPr>
          <w:rFonts w:hAnsi="宋体"/>
          <w:b/>
          <w:color w:val="auto"/>
          <w:sz w:val="36"/>
          <w:highlight w:val="none"/>
        </w:rPr>
        <w:br w:type="page"/>
      </w:r>
      <w:r>
        <w:rPr>
          <w:rFonts w:hint="eastAsia" w:hAnsi="宋体"/>
          <w:b/>
          <w:color w:val="auto"/>
          <w:sz w:val="36"/>
          <w:highlight w:val="none"/>
        </w:rPr>
        <w:t>一、</w:t>
      </w:r>
      <w:r>
        <w:rPr>
          <w:rFonts w:hint="eastAsia" w:ascii="宋体" w:hAnsi="宋体"/>
          <w:b/>
          <w:color w:val="auto"/>
          <w:sz w:val="36"/>
          <w:highlight w:val="none"/>
        </w:rPr>
        <w:t>投标人的资格证明文件</w:t>
      </w:r>
    </w:p>
    <w:p w14:paraId="2F31FBB7">
      <w:pPr>
        <w:pStyle w:val="35"/>
        <w:outlineLvl w:val="9"/>
        <w:rPr>
          <w:rFonts w:hAnsi="宋体"/>
          <w:color w:val="auto"/>
          <w:highlight w:val="none"/>
        </w:rPr>
      </w:pPr>
    </w:p>
    <w:p w14:paraId="0B077404">
      <w:pPr>
        <w:pStyle w:val="35"/>
        <w:spacing w:line="480" w:lineRule="exact"/>
        <w:jc w:val="center"/>
        <w:outlineLvl w:val="9"/>
        <w:rPr>
          <w:rFonts w:hAnsi="宋体"/>
          <w:b/>
          <w:color w:val="auto"/>
          <w:sz w:val="36"/>
          <w:highlight w:val="none"/>
        </w:rPr>
      </w:pPr>
      <w:bookmarkStart w:id="107" w:name="_Toc459798546"/>
      <w:bookmarkStart w:id="108" w:name="_Toc462989268"/>
      <w:bookmarkStart w:id="109" w:name="_Toc462994808"/>
      <w:bookmarkStart w:id="110" w:name="_Toc462990138"/>
      <w:bookmarkStart w:id="111" w:name="_Toc467163878"/>
      <w:r>
        <w:rPr>
          <w:rFonts w:hint="eastAsia" w:hAnsi="宋体"/>
          <w:b/>
          <w:color w:val="auto"/>
          <w:sz w:val="36"/>
          <w:highlight w:val="none"/>
        </w:rPr>
        <w:t xml:space="preserve">1、投 标 </w:t>
      </w:r>
      <w:bookmarkEnd w:id="107"/>
      <w:bookmarkEnd w:id="108"/>
      <w:bookmarkEnd w:id="109"/>
      <w:bookmarkEnd w:id="110"/>
      <w:bookmarkEnd w:id="111"/>
      <w:r>
        <w:rPr>
          <w:rFonts w:hint="eastAsia" w:hAnsi="宋体"/>
          <w:b/>
          <w:color w:val="auto"/>
          <w:sz w:val="36"/>
          <w:highlight w:val="none"/>
        </w:rPr>
        <w:t>函</w:t>
      </w:r>
    </w:p>
    <w:p w14:paraId="0F9B7BC6">
      <w:pPr>
        <w:tabs>
          <w:tab w:val="left" w:pos="5940"/>
        </w:tabs>
        <w:spacing w:line="4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14:paraId="3E9ACFEB">
      <w:pPr>
        <w:spacing w:line="480" w:lineRule="exact"/>
        <w:rPr>
          <w:rFonts w:ascii="宋体" w:hAnsi="宋体"/>
          <w:color w:val="auto"/>
          <w:sz w:val="24"/>
          <w:highlight w:val="none"/>
        </w:rPr>
      </w:pPr>
      <w:r>
        <w:rPr>
          <w:rFonts w:hint="eastAsia" w:ascii="宋体" w:hAnsi="宋体"/>
          <w:color w:val="auto"/>
          <w:sz w:val="24"/>
          <w:highlight w:val="none"/>
        </w:rPr>
        <w:t xml:space="preserve">    根据贵方为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项目的投标邀请（</w:t>
      </w:r>
      <w:r>
        <w:rPr>
          <w:rFonts w:hint="eastAsia" w:ascii="宋体" w:hAnsi="宋体"/>
          <w:color w:val="auto"/>
          <w:sz w:val="24"/>
          <w:highlight w:val="none"/>
          <w:lang w:eastAsia="zh-CN"/>
        </w:rPr>
        <w:t>项目编号：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，本签名代表</w:t>
      </w:r>
      <w:r>
        <w:rPr>
          <w:rFonts w:hint="eastAsia" w:ascii="宋体" w:hAnsi="宋体"/>
          <w:color w:val="auto"/>
          <w:sz w:val="24"/>
          <w:highlight w:val="none"/>
          <w:u w:val="single"/>
        </w:rPr>
        <w:t>（全名、职务）</w:t>
      </w:r>
      <w:r>
        <w:rPr>
          <w:rFonts w:hint="eastAsia" w:ascii="宋体" w:hAnsi="宋体"/>
          <w:color w:val="auto"/>
          <w:sz w:val="24"/>
          <w:highlight w:val="none"/>
        </w:rPr>
        <w:t>正式被授权并代表投标人</w:t>
      </w:r>
      <w:r>
        <w:rPr>
          <w:rFonts w:hint="eastAsia" w:ascii="宋体" w:hAnsi="宋体"/>
          <w:color w:val="auto"/>
          <w:sz w:val="24"/>
          <w:highlight w:val="none"/>
          <w:u w:val="single"/>
        </w:rPr>
        <w:t>（投标人名称、地址）</w:t>
      </w:r>
      <w:r>
        <w:rPr>
          <w:rFonts w:hint="eastAsia" w:ascii="宋体" w:hAnsi="宋体"/>
          <w:color w:val="auto"/>
          <w:sz w:val="24"/>
          <w:highlight w:val="none"/>
        </w:rPr>
        <w:t>提交下述文件正本一份和副本五份。</w:t>
      </w:r>
    </w:p>
    <w:p w14:paraId="1013A9D0">
      <w:pPr>
        <w:spacing w:line="480" w:lineRule="exact"/>
        <w:rPr>
          <w:rFonts w:ascii="宋体" w:hAnsi="宋体"/>
          <w:b/>
          <w:color w:val="auto"/>
          <w:sz w:val="24"/>
          <w:highlight w:val="none"/>
        </w:rPr>
      </w:pPr>
      <w:r>
        <w:rPr>
          <w:rFonts w:hint="eastAsia" w:ascii="宋体" w:hAnsi="宋体"/>
          <w:b/>
          <w:color w:val="auto"/>
          <w:sz w:val="24"/>
          <w:highlight w:val="none"/>
        </w:rPr>
        <w:t>（一）第一册  技术商务文件</w:t>
      </w:r>
    </w:p>
    <w:p w14:paraId="6E169813">
      <w:pPr>
        <w:spacing w:line="480" w:lineRule="exact"/>
        <w:rPr>
          <w:rFonts w:ascii="宋体" w:hAnsi="宋体"/>
          <w:b/>
          <w:color w:val="auto"/>
          <w:sz w:val="24"/>
          <w:highlight w:val="none"/>
        </w:rPr>
      </w:pPr>
      <w:r>
        <w:rPr>
          <w:rFonts w:hint="eastAsia" w:ascii="宋体" w:hAnsi="宋体"/>
          <w:b/>
          <w:color w:val="auto"/>
          <w:sz w:val="24"/>
          <w:highlight w:val="none"/>
        </w:rPr>
        <w:t>（二）第二册  报价文件</w:t>
      </w:r>
    </w:p>
    <w:p w14:paraId="3076FACB">
      <w:pPr>
        <w:spacing w:line="480" w:lineRule="exact"/>
        <w:ind w:firstLine="240" w:firstLineChars="100"/>
        <w:rPr>
          <w:rFonts w:ascii="宋体" w:hAnsi="宋体"/>
          <w:color w:val="auto"/>
          <w:sz w:val="24"/>
          <w:highlight w:val="none"/>
        </w:rPr>
      </w:pPr>
      <w:r>
        <w:rPr>
          <w:rFonts w:hint="eastAsia" w:ascii="宋体" w:hAnsi="宋体"/>
          <w:color w:val="auto"/>
          <w:sz w:val="24"/>
          <w:highlight w:val="none"/>
        </w:rPr>
        <w:t>合同包1：以方式提供的金额为人民币元的投标保证金</w:t>
      </w:r>
    </w:p>
    <w:p w14:paraId="48D4CCA3">
      <w:pPr>
        <w:spacing w:line="480" w:lineRule="exact"/>
        <w:rPr>
          <w:rFonts w:ascii="宋体" w:hAnsi="宋体"/>
          <w:color w:val="auto"/>
          <w:sz w:val="24"/>
          <w:highlight w:val="none"/>
        </w:rPr>
      </w:pPr>
      <w:r>
        <w:rPr>
          <w:rFonts w:hint="eastAsia" w:ascii="宋体" w:hAnsi="宋体"/>
          <w:color w:val="auto"/>
          <w:sz w:val="24"/>
          <w:highlight w:val="none"/>
        </w:rPr>
        <w:t xml:space="preserve">    据此函，签名代表宣布同意如下：</w:t>
      </w:r>
    </w:p>
    <w:p w14:paraId="2E40B70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1.投标人已详细审查全部招标文件，包括修改文件（如有的话）和有关附件，将自行承担因对全部招标文件理解不正确或误解而产生的相应后果。</w:t>
      </w:r>
    </w:p>
    <w:p w14:paraId="5DE8074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2.投标人保证遵守招标文件的全部规定，投标人所提交的材料中所含的信息均为真实、准确、完整，且不具有任何误导性。</w:t>
      </w:r>
    </w:p>
    <w:p w14:paraId="43405FEA">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3.投标人投标文件中提供的材料若为复印件或扫描件的，均与原件一致。</w:t>
      </w:r>
    </w:p>
    <w:p w14:paraId="69FCAEF4">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4.投标人将按招标文件的规定履行合同责任和义务。</w:t>
      </w:r>
    </w:p>
    <w:p w14:paraId="52CD088A">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5.本投标文件有效期为：投标截止时间止 90个日历日。</w:t>
      </w:r>
    </w:p>
    <w:p w14:paraId="1CE4ABF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6.如果发生招标文件第二章投标人须知第11条所述情况，则同意招标代理机构不予退还投标保证金。</w:t>
      </w:r>
    </w:p>
    <w:p w14:paraId="1B04971A">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7.投标人同意提供按照招标采购单位可能要求的与其投标有关的一切数据或资料，完全理解贵方不一定要接受最低的报价或收到的任何投标。</w:t>
      </w:r>
    </w:p>
    <w:p w14:paraId="6694DC5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8. 与本投标有关的一切正式往来通讯请寄：</w:t>
      </w:r>
    </w:p>
    <w:p w14:paraId="768AD2DD">
      <w:pPr>
        <w:spacing w:line="480" w:lineRule="exact"/>
        <w:rPr>
          <w:rFonts w:ascii="宋体" w:hAnsi="宋体"/>
          <w:color w:val="auto"/>
          <w:sz w:val="24"/>
          <w:highlight w:val="none"/>
          <w:u w:val="single"/>
        </w:rPr>
      </w:pPr>
      <w:r>
        <w:rPr>
          <w:rFonts w:hint="eastAsia" w:ascii="宋体" w:hAnsi="宋体"/>
          <w:color w:val="auto"/>
          <w:sz w:val="24"/>
          <w:highlight w:val="none"/>
        </w:rPr>
        <w:t xml:space="preserve">      地址：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邮编： </w:t>
      </w:r>
    </w:p>
    <w:p w14:paraId="5639CE30">
      <w:pPr>
        <w:spacing w:line="480" w:lineRule="exact"/>
        <w:rPr>
          <w:rFonts w:ascii="宋体" w:hAnsi="宋体"/>
          <w:color w:val="auto"/>
          <w:sz w:val="24"/>
          <w:highlight w:val="none"/>
          <w:u w:val="single"/>
        </w:rPr>
      </w:pPr>
      <w:r>
        <w:rPr>
          <w:rFonts w:hint="eastAsia" w:ascii="宋体" w:hAnsi="宋体"/>
          <w:color w:val="auto"/>
          <w:sz w:val="24"/>
          <w:highlight w:val="none"/>
        </w:rPr>
        <w:t xml:space="preserve">      电话：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eastAsia="zh-CN"/>
        </w:rPr>
        <w:t>电子邮箱</w:t>
      </w:r>
      <w:r>
        <w:rPr>
          <w:rFonts w:hint="eastAsia" w:ascii="宋体" w:hAnsi="宋体"/>
          <w:color w:val="auto"/>
          <w:sz w:val="24"/>
          <w:highlight w:val="none"/>
        </w:rPr>
        <w:t xml:space="preserve">： </w:t>
      </w:r>
    </w:p>
    <w:p w14:paraId="3998EBAF">
      <w:pPr>
        <w:spacing w:line="480" w:lineRule="exact"/>
        <w:rPr>
          <w:rFonts w:ascii="宋体" w:hAnsi="宋体"/>
          <w:color w:val="auto"/>
          <w:sz w:val="24"/>
          <w:highlight w:val="none"/>
          <w:u w:val="single"/>
        </w:rPr>
      </w:pPr>
      <w:r>
        <w:rPr>
          <w:rFonts w:hint="eastAsia" w:ascii="宋体" w:hAnsi="宋体"/>
          <w:color w:val="auto"/>
          <w:sz w:val="24"/>
          <w:highlight w:val="none"/>
        </w:rPr>
        <w:t xml:space="preserve">      投标人代表签名： </w:t>
      </w:r>
    </w:p>
    <w:p w14:paraId="07C999FA">
      <w:pPr>
        <w:spacing w:line="480" w:lineRule="exact"/>
        <w:rPr>
          <w:rFonts w:ascii="宋体" w:hAnsi="宋体"/>
          <w:color w:val="auto"/>
          <w:sz w:val="24"/>
          <w:highlight w:val="none"/>
        </w:rPr>
      </w:pPr>
      <w:r>
        <w:rPr>
          <w:rFonts w:hint="eastAsia" w:ascii="宋体" w:hAnsi="宋体"/>
          <w:color w:val="auto"/>
          <w:sz w:val="24"/>
          <w:highlight w:val="none"/>
        </w:rPr>
        <w:t xml:space="preserve">      投标人（全称并加盖公章）：</w:t>
      </w:r>
    </w:p>
    <w:p w14:paraId="441FDC24">
      <w:pPr>
        <w:spacing w:line="48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005DBD12">
      <w:pPr>
        <w:pStyle w:val="35"/>
        <w:spacing w:line="500" w:lineRule="exact"/>
        <w:jc w:val="center"/>
        <w:outlineLvl w:val="1"/>
        <w:rPr>
          <w:rFonts w:hAnsi="宋体"/>
          <w:b/>
          <w:color w:val="auto"/>
          <w:sz w:val="24"/>
          <w:highlight w:val="none"/>
        </w:rPr>
        <w:sectPr>
          <w:headerReference r:id="rId9" w:type="default"/>
          <w:footerReference r:id="rId10" w:type="default"/>
          <w:type w:val="continuous"/>
          <w:pgSz w:w="11907" w:h="16840"/>
          <w:pgMar w:top="1134" w:right="907" w:bottom="850" w:left="1134" w:header="680" w:footer="283" w:gutter="0"/>
          <w:cols w:space="720" w:num="1"/>
          <w:docGrid w:linePitch="312" w:charSpace="0"/>
        </w:sectPr>
      </w:pPr>
    </w:p>
    <w:p w14:paraId="46F89DB2">
      <w:pPr>
        <w:jc w:val="center"/>
        <w:rPr>
          <w:rFonts w:ascii="宋体" w:hAnsi="宋体"/>
          <w:b/>
          <w:bCs/>
          <w:color w:val="auto"/>
          <w:sz w:val="36"/>
          <w:highlight w:val="none"/>
        </w:rPr>
      </w:pPr>
    </w:p>
    <w:p w14:paraId="48AC0D53">
      <w:pPr>
        <w:jc w:val="center"/>
        <w:rPr>
          <w:rFonts w:ascii="宋体" w:hAnsi="宋体"/>
          <w:b/>
          <w:bCs/>
          <w:color w:val="auto"/>
          <w:sz w:val="36"/>
          <w:highlight w:val="none"/>
        </w:rPr>
      </w:pPr>
    </w:p>
    <w:p w14:paraId="2F9EE3AC">
      <w:pPr>
        <w:jc w:val="center"/>
        <w:rPr>
          <w:rFonts w:ascii="宋体" w:hAnsi="宋体"/>
          <w:b/>
          <w:bCs/>
          <w:color w:val="auto"/>
          <w:sz w:val="36"/>
          <w:highlight w:val="none"/>
        </w:rPr>
      </w:pPr>
    </w:p>
    <w:p w14:paraId="038E7A4F">
      <w:pPr>
        <w:spacing w:line="380" w:lineRule="exact"/>
        <w:jc w:val="center"/>
        <w:rPr>
          <w:rFonts w:ascii="宋体" w:hAnsi="宋体"/>
          <w:b/>
          <w:color w:val="auto"/>
          <w:sz w:val="36"/>
          <w:highlight w:val="none"/>
        </w:rPr>
      </w:pPr>
    </w:p>
    <w:p w14:paraId="3B45FD21">
      <w:pPr>
        <w:spacing w:line="380" w:lineRule="exact"/>
        <w:jc w:val="center"/>
        <w:rPr>
          <w:rFonts w:ascii="宋体" w:hAnsi="宋体"/>
          <w:color w:val="auto"/>
          <w:sz w:val="24"/>
          <w:highlight w:val="none"/>
        </w:rPr>
      </w:pPr>
      <w:r>
        <w:rPr>
          <w:rFonts w:hint="eastAsia" w:ascii="宋体" w:hAnsi="宋体"/>
          <w:b/>
          <w:color w:val="auto"/>
          <w:sz w:val="36"/>
          <w:highlight w:val="none"/>
        </w:rPr>
        <w:t>2、关于资格的声明函</w:t>
      </w:r>
      <w:r>
        <w:rPr>
          <w:rFonts w:hint="eastAsia" w:ascii="宋体" w:hAnsi="宋体"/>
          <w:color w:val="auto"/>
          <w:sz w:val="36"/>
          <w:highlight w:val="none"/>
        </w:rPr>
        <w:cr/>
      </w:r>
    </w:p>
    <w:p w14:paraId="35CCD63B">
      <w:pPr>
        <w:spacing w:line="480" w:lineRule="exact"/>
        <w:rPr>
          <w:rFonts w:ascii="宋体" w:hAnsi="宋体"/>
          <w:color w:val="auto"/>
          <w:sz w:val="24"/>
          <w:highlight w:val="none"/>
        </w:rPr>
      </w:pPr>
      <w:r>
        <w:rPr>
          <w:rFonts w:hint="eastAsia" w:ascii="宋体" w:hAnsi="宋体"/>
          <w:color w:val="auto"/>
          <w:sz w:val="24"/>
          <w:highlight w:val="none"/>
          <w:u w:val="single"/>
        </w:rPr>
        <w:t xml:space="preserve">福建省宏瑞招标代理有限公司 </w:t>
      </w:r>
      <w:r>
        <w:rPr>
          <w:rFonts w:hint="eastAsia" w:ascii="宋体" w:hAnsi="宋体"/>
          <w:color w:val="auto"/>
          <w:sz w:val="24"/>
          <w:highlight w:val="none"/>
        </w:rPr>
        <w:t>：</w:t>
      </w:r>
    </w:p>
    <w:p w14:paraId="30939DA8">
      <w:pPr>
        <w:spacing w:line="480" w:lineRule="exact"/>
        <w:rPr>
          <w:rFonts w:ascii="宋体" w:hAnsi="宋体"/>
          <w:color w:val="auto"/>
          <w:sz w:val="24"/>
          <w:highlight w:val="none"/>
        </w:rPr>
      </w:pPr>
    </w:p>
    <w:p w14:paraId="6E195248">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关于贵方年月日 （</w:t>
      </w:r>
      <w:r>
        <w:rPr>
          <w:rFonts w:hint="eastAsia" w:ascii="宋体" w:hAnsi="宋体"/>
          <w:color w:val="auto"/>
          <w:sz w:val="24"/>
          <w:highlight w:val="none"/>
          <w:lang w:eastAsia="zh-CN"/>
        </w:rPr>
        <w:t>项目编号</w:t>
      </w:r>
      <w:r>
        <w:rPr>
          <w:rFonts w:hint="eastAsia" w:ascii="宋体" w:hAnsi="宋体"/>
          <w:color w:val="auto"/>
          <w:sz w:val="24"/>
          <w:highlight w:val="none"/>
        </w:rPr>
        <w:t>）投标邀请，本签名人愿意参加投标，提供招标文件“招标标的一览表”中规定的（合同包）（标的名称），并证明提交的下列文件和说明是准确的和真实的。</w:t>
      </w:r>
      <w:r>
        <w:rPr>
          <w:rFonts w:hint="eastAsia" w:ascii="宋体" w:hAnsi="宋体"/>
          <w:color w:val="auto"/>
          <w:sz w:val="24"/>
          <w:highlight w:val="none"/>
        </w:rPr>
        <w:cr/>
      </w:r>
      <w:r>
        <w:rPr>
          <w:rFonts w:hint="eastAsia" w:ascii="宋体" w:hAnsi="宋体"/>
          <w:color w:val="auto"/>
          <w:sz w:val="24"/>
          <w:highlight w:val="none"/>
        </w:rPr>
        <w:t>1．本签名人确认资格文件中的说明以及投标文件中所有提交的文件和材料是真实的、准确的。</w:t>
      </w:r>
      <w:r>
        <w:rPr>
          <w:rFonts w:ascii="宋体" w:hAnsi="宋体"/>
          <w:color w:val="auto"/>
          <w:sz w:val="24"/>
          <w:highlight w:val="none"/>
        </w:rPr>
        <w:t>若在评标过程中</w:t>
      </w:r>
      <w:r>
        <w:rPr>
          <w:rFonts w:hint="eastAsia" w:ascii="宋体" w:hAnsi="宋体"/>
          <w:color w:val="auto"/>
          <w:sz w:val="24"/>
          <w:highlight w:val="none"/>
        </w:rPr>
        <w:t>、中标公示期内、</w:t>
      </w:r>
      <w:r>
        <w:rPr>
          <w:rFonts w:ascii="宋体" w:hAnsi="宋体"/>
          <w:color w:val="auto"/>
          <w:sz w:val="24"/>
          <w:highlight w:val="none"/>
        </w:rPr>
        <w:t>中标后和执行合同过程中发现提供虚假资料的</w:t>
      </w:r>
      <w:r>
        <w:rPr>
          <w:rFonts w:hint="eastAsia" w:ascii="宋体" w:hAnsi="宋体"/>
          <w:color w:val="auto"/>
          <w:sz w:val="24"/>
          <w:highlight w:val="none"/>
        </w:rPr>
        <w:t>，可</w:t>
      </w:r>
      <w:r>
        <w:rPr>
          <w:rFonts w:ascii="宋体" w:hAnsi="宋体"/>
          <w:color w:val="auto"/>
          <w:sz w:val="24"/>
          <w:highlight w:val="none"/>
        </w:rPr>
        <w:t>取消</w:t>
      </w:r>
      <w:r>
        <w:rPr>
          <w:rFonts w:hint="eastAsia" w:ascii="宋体" w:hAnsi="宋体"/>
          <w:color w:val="auto"/>
          <w:sz w:val="24"/>
          <w:highlight w:val="none"/>
        </w:rPr>
        <w:t>我公司</w:t>
      </w:r>
      <w:r>
        <w:rPr>
          <w:rFonts w:ascii="宋体" w:hAnsi="宋体"/>
          <w:color w:val="auto"/>
          <w:sz w:val="24"/>
          <w:highlight w:val="none"/>
        </w:rPr>
        <w:t>中标资格，</w:t>
      </w:r>
      <w:r>
        <w:rPr>
          <w:rFonts w:hint="eastAsia" w:ascii="宋体" w:hAnsi="宋体"/>
          <w:color w:val="auto"/>
          <w:sz w:val="24"/>
          <w:highlight w:val="none"/>
        </w:rPr>
        <w:t>且我司</w:t>
      </w:r>
      <w:r>
        <w:rPr>
          <w:rFonts w:ascii="宋体" w:hAnsi="宋体"/>
          <w:color w:val="auto"/>
          <w:sz w:val="24"/>
          <w:highlight w:val="none"/>
        </w:rPr>
        <w:t>保证金</w:t>
      </w:r>
      <w:r>
        <w:rPr>
          <w:rFonts w:hint="eastAsia" w:ascii="宋体" w:hAnsi="宋体"/>
          <w:color w:val="auto"/>
          <w:sz w:val="24"/>
          <w:highlight w:val="none"/>
        </w:rPr>
        <w:t>可</w:t>
      </w:r>
      <w:r>
        <w:rPr>
          <w:rFonts w:ascii="宋体" w:hAnsi="宋体"/>
          <w:color w:val="auto"/>
          <w:sz w:val="24"/>
          <w:highlight w:val="none"/>
        </w:rPr>
        <w:t>不予退还，给</w:t>
      </w:r>
      <w:r>
        <w:rPr>
          <w:rFonts w:hint="eastAsia" w:ascii="宋体" w:hAnsi="宋体"/>
          <w:color w:val="auto"/>
          <w:sz w:val="24"/>
          <w:highlight w:val="none"/>
        </w:rPr>
        <w:t>招标人</w:t>
      </w:r>
      <w:r>
        <w:rPr>
          <w:rFonts w:ascii="宋体" w:hAnsi="宋体"/>
          <w:color w:val="auto"/>
          <w:sz w:val="24"/>
          <w:highlight w:val="none"/>
        </w:rPr>
        <w:t>造成损失的，</w:t>
      </w:r>
      <w:r>
        <w:rPr>
          <w:rFonts w:hint="eastAsia" w:ascii="宋体" w:hAnsi="宋体"/>
          <w:color w:val="auto"/>
          <w:sz w:val="24"/>
          <w:highlight w:val="none"/>
        </w:rPr>
        <w:t>将</w:t>
      </w:r>
      <w:r>
        <w:rPr>
          <w:rFonts w:ascii="宋体" w:hAnsi="宋体"/>
          <w:color w:val="auto"/>
          <w:sz w:val="24"/>
          <w:highlight w:val="none"/>
        </w:rPr>
        <w:t>进行赔偿并负相关责任。评标过程中无论是否有对原件进行核实，</w:t>
      </w:r>
      <w:r>
        <w:rPr>
          <w:rFonts w:hint="eastAsia" w:ascii="宋体" w:hAnsi="宋体"/>
          <w:color w:val="auto"/>
          <w:sz w:val="24"/>
          <w:highlight w:val="none"/>
        </w:rPr>
        <w:t>我公司</w:t>
      </w:r>
      <w:r>
        <w:rPr>
          <w:rFonts w:ascii="宋体" w:hAnsi="宋体"/>
          <w:color w:val="auto"/>
          <w:sz w:val="24"/>
          <w:highlight w:val="none"/>
        </w:rPr>
        <w:t>都对其提供各种资料、说明的真实性负责。</w:t>
      </w:r>
      <w:r>
        <w:rPr>
          <w:rFonts w:hint="eastAsia" w:ascii="宋体" w:hAnsi="宋体"/>
          <w:color w:val="auto"/>
          <w:sz w:val="24"/>
          <w:highlight w:val="none"/>
        </w:rPr>
        <w:t>在中标公示期内、</w:t>
      </w:r>
      <w:r>
        <w:rPr>
          <w:rFonts w:ascii="宋体" w:hAnsi="宋体"/>
          <w:color w:val="auto"/>
          <w:sz w:val="24"/>
          <w:highlight w:val="none"/>
        </w:rPr>
        <w:t>中标后和执行合同过程中</w:t>
      </w:r>
      <w:r>
        <w:rPr>
          <w:rFonts w:hint="eastAsia" w:ascii="宋体" w:hAnsi="宋体"/>
          <w:color w:val="auto"/>
          <w:sz w:val="24"/>
          <w:highlight w:val="none"/>
        </w:rPr>
        <w:t>，若招标人对我公司投标文件中所有提交的文件和材料有疑义的，我公司将提供相关原件材料予以核查。</w:t>
      </w:r>
    </w:p>
    <w:p w14:paraId="1D02A7F7">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2．我方的资格声明正本一份，副本五份，随投标文件一同递交。</w:t>
      </w:r>
    </w:p>
    <w:p w14:paraId="22B82F60">
      <w:pPr>
        <w:spacing w:line="480" w:lineRule="exact"/>
        <w:rPr>
          <w:rFonts w:ascii="宋体" w:hAnsi="宋体"/>
          <w:color w:val="auto"/>
          <w:sz w:val="24"/>
          <w:highlight w:val="none"/>
        </w:rPr>
      </w:pPr>
    </w:p>
    <w:p w14:paraId="6CD4186C">
      <w:pPr>
        <w:spacing w:line="480" w:lineRule="exact"/>
        <w:rPr>
          <w:rFonts w:ascii="宋体" w:hAnsi="宋体"/>
          <w:color w:val="auto"/>
          <w:sz w:val="24"/>
          <w:highlight w:val="none"/>
        </w:rPr>
      </w:pPr>
    </w:p>
    <w:p w14:paraId="29819D24">
      <w:pPr>
        <w:spacing w:line="480" w:lineRule="exact"/>
        <w:rPr>
          <w:rFonts w:ascii="宋体" w:hAnsi="宋体"/>
          <w:color w:val="auto"/>
          <w:sz w:val="24"/>
          <w:highlight w:val="none"/>
        </w:rPr>
      </w:pPr>
    </w:p>
    <w:p w14:paraId="2A76CF8E">
      <w:pPr>
        <w:spacing w:line="480" w:lineRule="exact"/>
        <w:rPr>
          <w:rFonts w:ascii="宋体" w:hAnsi="宋体"/>
          <w:color w:val="auto"/>
          <w:sz w:val="24"/>
          <w:highlight w:val="none"/>
        </w:rPr>
      </w:pPr>
    </w:p>
    <w:p w14:paraId="200B6B46">
      <w:pPr>
        <w:spacing w:line="480" w:lineRule="exact"/>
        <w:rPr>
          <w:rFonts w:ascii="宋体" w:hAnsi="宋体"/>
          <w:color w:val="auto"/>
          <w:sz w:val="24"/>
          <w:highlight w:val="none"/>
        </w:rPr>
      </w:pPr>
    </w:p>
    <w:p w14:paraId="16898263">
      <w:pPr>
        <w:spacing w:line="480" w:lineRule="exact"/>
        <w:rPr>
          <w:rFonts w:ascii="宋体" w:hAnsi="宋体"/>
          <w:color w:val="auto"/>
          <w:sz w:val="24"/>
          <w:highlight w:val="none"/>
          <w:u w:val="single"/>
        </w:rPr>
      </w:pPr>
      <w:r>
        <w:rPr>
          <w:rFonts w:hint="eastAsia" w:ascii="宋体" w:hAnsi="宋体"/>
          <w:color w:val="auto"/>
          <w:sz w:val="24"/>
          <w:highlight w:val="none"/>
        </w:rPr>
        <w:t>投标人代表签名：</w:t>
      </w:r>
    </w:p>
    <w:p w14:paraId="3B3D4F65">
      <w:pPr>
        <w:spacing w:line="480" w:lineRule="exact"/>
        <w:rPr>
          <w:rFonts w:ascii="宋体" w:hAnsi="宋体"/>
          <w:color w:val="auto"/>
          <w:sz w:val="24"/>
          <w:highlight w:val="none"/>
        </w:rPr>
      </w:pPr>
      <w:r>
        <w:rPr>
          <w:rFonts w:hint="eastAsia" w:ascii="宋体" w:hAnsi="宋体"/>
          <w:color w:val="auto"/>
          <w:sz w:val="24"/>
          <w:highlight w:val="none"/>
        </w:rPr>
        <w:t>投标人（全称并加盖公章）：</w:t>
      </w:r>
    </w:p>
    <w:p w14:paraId="1E1126E0">
      <w:pPr>
        <w:spacing w:line="480" w:lineRule="exact"/>
        <w:rPr>
          <w:rFonts w:ascii="宋体" w:hAnsi="宋体"/>
          <w:color w:val="auto"/>
          <w:sz w:val="24"/>
          <w:highlight w:val="none"/>
          <w:u w:val="single"/>
        </w:rPr>
      </w:pPr>
    </w:p>
    <w:p w14:paraId="6C51009B">
      <w:pPr>
        <w:rPr>
          <w:rFonts w:ascii="宋体" w:hAnsi="宋体"/>
          <w:color w:val="auto"/>
          <w:szCs w:val="21"/>
          <w:highlight w:val="none"/>
          <w:u w:val="single"/>
        </w:rPr>
      </w:pPr>
    </w:p>
    <w:p w14:paraId="5DA77B9F">
      <w:pPr>
        <w:rPr>
          <w:rFonts w:ascii="宋体" w:hAnsi="宋体"/>
          <w:color w:val="auto"/>
          <w:szCs w:val="21"/>
          <w:highlight w:val="none"/>
          <w:u w:val="single"/>
        </w:rPr>
      </w:pPr>
    </w:p>
    <w:p w14:paraId="1D83CFB9">
      <w:pPr>
        <w:rPr>
          <w:rFonts w:ascii="宋体" w:hAnsi="宋体"/>
          <w:color w:val="auto"/>
          <w:szCs w:val="21"/>
          <w:highlight w:val="none"/>
          <w:u w:val="single"/>
        </w:rPr>
      </w:pPr>
    </w:p>
    <w:p w14:paraId="1078EE0F">
      <w:pPr>
        <w:rPr>
          <w:rFonts w:ascii="宋体" w:hAnsi="宋体"/>
          <w:color w:val="auto"/>
          <w:szCs w:val="21"/>
          <w:highlight w:val="none"/>
          <w:u w:val="single"/>
        </w:rPr>
      </w:pPr>
    </w:p>
    <w:p w14:paraId="5077B664">
      <w:pPr>
        <w:rPr>
          <w:rFonts w:ascii="宋体" w:hAnsi="宋体"/>
          <w:color w:val="auto"/>
          <w:szCs w:val="21"/>
          <w:highlight w:val="none"/>
          <w:u w:val="single"/>
        </w:rPr>
      </w:pPr>
    </w:p>
    <w:p w14:paraId="7CC8339B">
      <w:pPr>
        <w:rPr>
          <w:rFonts w:ascii="宋体" w:hAnsi="宋体"/>
          <w:color w:val="auto"/>
          <w:szCs w:val="21"/>
          <w:highlight w:val="none"/>
        </w:rPr>
      </w:pPr>
    </w:p>
    <w:p w14:paraId="21CB85A1">
      <w:pPr>
        <w:rPr>
          <w:rFonts w:ascii="宋体" w:hAnsi="宋体"/>
          <w:color w:val="auto"/>
          <w:szCs w:val="21"/>
          <w:highlight w:val="none"/>
        </w:rPr>
      </w:pPr>
    </w:p>
    <w:p w14:paraId="5F693B7C">
      <w:pPr>
        <w:rPr>
          <w:rFonts w:ascii="宋体" w:hAnsi="宋体"/>
          <w:color w:val="auto"/>
          <w:szCs w:val="21"/>
          <w:highlight w:val="none"/>
        </w:rPr>
      </w:pPr>
    </w:p>
    <w:p w14:paraId="2EAAAC63">
      <w:pPr>
        <w:spacing w:line="380" w:lineRule="exact"/>
        <w:jc w:val="center"/>
        <w:rPr>
          <w:rFonts w:ascii="宋体" w:hAnsi="宋体"/>
          <w:color w:val="auto"/>
          <w:sz w:val="24"/>
          <w:highlight w:val="none"/>
        </w:rPr>
      </w:pPr>
      <w:r>
        <w:rPr>
          <w:rFonts w:ascii="宋体" w:hAnsi="宋体"/>
          <w:b/>
          <w:color w:val="auto"/>
          <w:sz w:val="36"/>
          <w:highlight w:val="none"/>
        </w:rPr>
        <w:br w:type="page"/>
      </w:r>
      <w:r>
        <w:rPr>
          <w:rFonts w:hint="eastAsia" w:ascii="宋体" w:hAnsi="宋体"/>
          <w:b/>
          <w:color w:val="auto"/>
          <w:sz w:val="36"/>
          <w:highlight w:val="none"/>
        </w:rPr>
        <w:t>3、投标人的资格声明</w:t>
      </w:r>
    </w:p>
    <w:p w14:paraId="2D9B5DF1">
      <w:pPr>
        <w:spacing w:line="480" w:lineRule="exact"/>
        <w:rPr>
          <w:rFonts w:ascii="宋体" w:hAnsi="宋体"/>
          <w:color w:val="auto"/>
          <w:sz w:val="24"/>
          <w:highlight w:val="none"/>
          <w:u w:val="single"/>
        </w:rPr>
      </w:pPr>
      <w:r>
        <w:rPr>
          <w:rFonts w:hint="eastAsia" w:ascii="宋体" w:hAnsi="宋体"/>
          <w:color w:val="auto"/>
          <w:sz w:val="24"/>
          <w:highlight w:val="none"/>
        </w:rPr>
        <w:t xml:space="preserve">1．投标人概况：                                   </w:t>
      </w:r>
      <w:r>
        <w:rPr>
          <w:rFonts w:hint="eastAsia" w:ascii="宋体" w:hAnsi="宋体"/>
          <w:color w:val="auto"/>
          <w:sz w:val="24"/>
          <w:highlight w:val="none"/>
        </w:rPr>
        <w:cr/>
      </w:r>
      <w:r>
        <w:rPr>
          <w:rFonts w:hint="eastAsia" w:ascii="宋体" w:hAnsi="宋体"/>
          <w:color w:val="auto"/>
          <w:sz w:val="24"/>
          <w:highlight w:val="none"/>
        </w:rPr>
        <w:t xml:space="preserve">        Ａ．投标人名称：</w:t>
      </w:r>
      <w:r>
        <w:rPr>
          <w:rFonts w:hint="eastAsia" w:ascii="宋体" w:hAnsi="宋体"/>
          <w:color w:val="auto"/>
          <w:sz w:val="24"/>
          <w:highlight w:val="none"/>
          <w:u w:val="single"/>
        </w:rPr>
        <w:cr/>
      </w:r>
      <w:r>
        <w:rPr>
          <w:rFonts w:hint="eastAsia" w:ascii="宋体" w:hAnsi="宋体"/>
          <w:color w:val="auto"/>
          <w:sz w:val="24"/>
          <w:highlight w:val="none"/>
        </w:rPr>
        <w:t xml:space="preserve">        Ｂ．注册地址：</w:t>
      </w:r>
      <w:r>
        <w:rPr>
          <w:rFonts w:hint="eastAsia" w:ascii="宋体" w:hAnsi="宋体"/>
          <w:color w:val="auto"/>
          <w:sz w:val="24"/>
          <w:highlight w:val="none"/>
          <w:u w:val="single"/>
        </w:rPr>
        <w:cr/>
      </w:r>
      <w:r>
        <w:rPr>
          <w:rFonts w:hint="eastAsia" w:ascii="宋体" w:hAnsi="宋体"/>
          <w:color w:val="auto"/>
          <w:sz w:val="24"/>
          <w:highlight w:val="none"/>
        </w:rPr>
        <w:t xml:space="preserve">            传真：电话：  邮编：</w:t>
      </w:r>
      <w:r>
        <w:rPr>
          <w:rFonts w:hint="eastAsia" w:ascii="宋体" w:hAnsi="宋体"/>
          <w:color w:val="auto"/>
          <w:sz w:val="24"/>
          <w:highlight w:val="none"/>
        </w:rPr>
        <w:cr/>
      </w:r>
      <w:r>
        <w:rPr>
          <w:rFonts w:hint="eastAsia" w:ascii="宋体" w:hAnsi="宋体"/>
          <w:color w:val="auto"/>
          <w:sz w:val="24"/>
          <w:highlight w:val="none"/>
        </w:rPr>
        <w:t xml:space="preserve">        Ｃ．成立或注册日期：</w:t>
      </w:r>
    </w:p>
    <w:p w14:paraId="171D7DA6">
      <w:pPr>
        <w:spacing w:line="480" w:lineRule="exact"/>
        <w:rPr>
          <w:rFonts w:ascii="宋体" w:hAnsi="宋体"/>
          <w:color w:val="auto"/>
          <w:sz w:val="24"/>
          <w:highlight w:val="none"/>
        </w:rPr>
      </w:pPr>
      <w:r>
        <w:rPr>
          <w:rFonts w:hint="eastAsia" w:ascii="宋体" w:hAnsi="宋体"/>
          <w:color w:val="auto"/>
          <w:sz w:val="24"/>
          <w:highlight w:val="none"/>
        </w:rPr>
        <w:t xml:space="preserve">        Ｄ．法人代表：（姓名、职务）</w:t>
      </w:r>
    </w:p>
    <w:p w14:paraId="39E70F5A">
      <w:pPr>
        <w:spacing w:line="480" w:lineRule="exact"/>
        <w:rPr>
          <w:rFonts w:ascii="宋体" w:hAnsi="宋体"/>
          <w:color w:val="auto"/>
          <w:sz w:val="24"/>
          <w:highlight w:val="none"/>
          <w:u w:val="single"/>
        </w:rPr>
      </w:pPr>
      <w:r>
        <w:rPr>
          <w:rFonts w:hint="eastAsia" w:ascii="宋体" w:hAnsi="宋体"/>
          <w:color w:val="auto"/>
          <w:sz w:val="24"/>
          <w:highlight w:val="none"/>
        </w:rPr>
        <w:t xml:space="preserve">        实收资本：</w:t>
      </w:r>
    </w:p>
    <w:p w14:paraId="148E6140">
      <w:pPr>
        <w:spacing w:line="480" w:lineRule="exact"/>
        <w:rPr>
          <w:rFonts w:ascii="宋体" w:hAnsi="宋体"/>
          <w:color w:val="auto"/>
          <w:sz w:val="24"/>
          <w:highlight w:val="none"/>
        </w:rPr>
      </w:pPr>
      <w:r>
        <w:rPr>
          <w:rFonts w:hint="eastAsia" w:ascii="宋体" w:hAnsi="宋体"/>
          <w:color w:val="auto"/>
          <w:sz w:val="24"/>
          <w:highlight w:val="none"/>
        </w:rPr>
        <w:t xml:space="preserve">        其中 国家资本： 法人资本：</w:t>
      </w:r>
    </w:p>
    <w:p w14:paraId="4B2702D7">
      <w:pPr>
        <w:spacing w:line="480" w:lineRule="exact"/>
        <w:rPr>
          <w:rFonts w:ascii="宋体" w:hAnsi="宋体"/>
          <w:color w:val="auto"/>
          <w:sz w:val="24"/>
          <w:highlight w:val="none"/>
        </w:rPr>
      </w:pPr>
      <w:r>
        <w:rPr>
          <w:rFonts w:hint="eastAsia" w:ascii="宋体" w:hAnsi="宋体"/>
          <w:color w:val="auto"/>
          <w:sz w:val="24"/>
          <w:highlight w:val="none"/>
        </w:rPr>
        <w:t xml:space="preserve">             个人资本： 外商资本：</w:t>
      </w:r>
    </w:p>
    <w:p w14:paraId="2210DE3F">
      <w:pPr>
        <w:spacing w:line="480" w:lineRule="exact"/>
        <w:rPr>
          <w:rFonts w:ascii="宋体" w:hAnsi="宋体"/>
          <w:color w:val="auto"/>
          <w:sz w:val="24"/>
          <w:highlight w:val="none"/>
        </w:rPr>
      </w:pPr>
      <w:r>
        <w:rPr>
          <w:rFonts w:hint="eastAsia" w:ascii="宋体" w:hAnsi="宋体"/>
          <w:color w:val="auto"/>
          <w:sz w:val="24"/>
          <w:highlight w:val="none"/>
        </w:rPr>
        <w:t xml:space="preserve">    Ｅ．最近资产负债表（到 年月 日为止）。</w:t>
      </w:r>
    </w:p>
    <w:p w14:paraId="0111271C">
      <w:pPr>
        <w:spacing w:line="480" w:lineRule="exact"/>
        <w:rPr>
          <w:rFonts w:ascii="宋体" w:hAnsi="宋体"/>
          <w:color w:val="auto"/>
          <w:sz w:val="24"/>
          <w:highlight w:val="none"/>
          <w:u w:val="single"/>
        </w:rPr>
      </w:pPr>
      <w:r>
        <w:rPr>
          <w:rFonts w:hint="eastAsia" w:ascii="宋体" w:hAnsi="宋体"/>
          <w:color w:val="auto"/>
          <w:sz w:val="24"/>
          <w:highlight w:val="none"/>
        </w:rPr>
        <w:t xml:space="preserve">        (1)固定资产合计:</w:t>
      </w:r>
    </w:p>
    <w:p w14:paraId="4CCC454A">
      <w:pPr>
        <w:spacing w:line="480" w:lineRule="exact"/>
        <w:rPr>
          <w:rFonts w:ascii="宋体" w:hAnsi="宋体"/>
          <w:color w:val="auto"/>
          <w:sz w:val="24"/>
          <w:highlight w:val="none"/>
        </w:rPr>
      </w:pPr>
      <w:r>
        <w:rPr>
          <w:rFonts w:hint="eastAsia" w:ascii="宋体" w:hAnsi="宋体"/>
          <w:color w:val="auto"/>
          <w:sz w:val="24"/>
          <w:highlight w:val="none"/>
        </w:rPr>
        <w:t xml:space="preserve">        (2)流动资产合计:</w:t>
      </w:r>
    </w:p>
    <w:p w14:paraId="091C3AA5">
      <w:pPr>
        <w:spacing w:line="480" w:lineRule="exact"/>
        <w:rPr>
          <w:rFonts w:ascii="宋体" w:hAnsi="宋体"/>
          <w:color w:val="auto"/>
          <w:sz w:val="24"/>
          <w:highlight w:val="none"/>
        </w:rPr>
      </w:pPr>
      <w:r>
        <w:rPr>
          <w:rFonts w:hint="eastAsia" w:ascii="宋体" w:hAnsi="宋体"/>
          <w:color w:val="auto"/>
          <w:sz w:val="24"/>
          <w:highlight w:val="none"/>
        </w:rPr>
        <w:t xml:space="preserve">        (3)长期负债合计:</w:t>
      </w:r>
    </w:p>
    <w:p w14:paraId="1CD990D5">
      <w:pPr>
        <w:spacing w:line="480" w:lineRule="exact"/>
        <w:rPr>
          <w:rFonts w:ascii="宋体" w:hAnsi="宋体"/>
          <w:color w:val="auto"/>
          <w:sz w:val="24"/>
          <w:highlight w:val="none"/>
        </w:rPr>
      </w:pPr>
      <w:r>
        <w:rPr>
          <w:rFonts w:hint="eastAsia" w:ascii="宋体" w:hAnsi="宋体"/>
          <w:color w:val="auto"/>
          <w:sz w:val="24"/>
          <w:highlight w:val="none"/>
        </w:rPr>
        <w:t xml:space="preserve">        (4)流动负债合计:</w:t>
      </w:r>
    </w:p>
    <w:p w14:paraId="0833985B">
      <w:pPr>
        <w:spacing w:line="480" w:lineRule="exact"/>
        <w:rPr>
          <w:rFonts w:ascii="宋体" w:hAnsi="宋体"/>
          <w:color w:val="auto"/>
          <w:sz w:val="24"/>
          <w:highlight w:val="none"/>
        </w:rPr>
      </w:pPr>
      <w:r>
        <w:rPr>
          <w:rFonts w:hint="eastAsia" w:ascii="宋体" w:hAnsi="宋体"/>
          <w:color w:val="auto"/>
          <w:sz w:val="24"/>
          <w:highlight w:val="none"/>
        </w:rPr>
        <w:t xml:space="preserve">    Ｆ．最近损益表（到年月日为止）。</w:t>
      </w:r>
    </w:p>
    <w:p w14:paraId="7C18E9E8">
      <w:pPr>
        <w:spacing w:line="480" w:lineRule="exact"/>
        <w:ind w:firstLine="480" w:firstLineChars="200"/>
        <w:rPr>
          <w:rFonts w:ascii="宋体" w:hAnsi="宋体"/>
          <w:color w:val="auto"/>
          <w:sz w:val="24"/>
          <w:highlight w:val="none"/>
          <w:u w:val="single"/>
        </w:rPr>
      </w:pPr>
      <w:r>
        <w:rPr>
          <w:rFonts w:hint="eastAsia" w:ascii="宋体" w:hAnsi="宋体"/>
          <w:color w:val="auto"/>
          <w:sz w:val="24"/>
          <w:highlight w:val="none"/>
        </w:rPr>
        <w:t>(1)本年（期）利润总额累计：</w:t>
      </w:r>
    </w:p>
    <w:p w14:paraId="68DAE4A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 xml:space="preserve">(2)本年（期）净利润累计： </w:t>
      </w:r>
    </w:p>
    <w:p w14:paraId="43699522">
      <w:pPr>
        <w:spacing w:line="480" w:lineRule="exact"/>
        <w:rPr>
          <w:rFonts w:ascii="宋体" w:hAnsi="宋体"/>
          <w:color w:val="auto"/>
          <w:sz w:val="24"/>
          <w:highlight w:val="none"/>
        </w:rPr>
      </w:pPr>
      <w:r>
        <w:rPr>
          <w:rFonts w:hint="eastAsia" w:ascii="宋体" w:hAnsi="宋体"/>
          <w:color w:val="auto"/>
          <w:sz w:val="24"/>
          <w:highlight w:val="none"/>
        </w:rPr>
        <w:t>2．我方在此声明，我方具备并满足下列各项条款的规定。本声明如有虚假或不实之处，我方将失去合格投标人资格且我方的投标保证金将不予退还。</w:t>
      </w:r>
    </w:p>
    <w:p w14:paraId="35E26A46">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（1）具有独立承担民事责任的能力；</w:t>
      </w:r>
    </w:p>
    <w:p w14:paraId="53964678">
      <w:pPr>
        <w:spacing w:line="480" w:lineRule="exact"/>
        <w:rPr>
          <w:rFonts w:ascii="宋体" w:hAnsi="宋体"/>
          <w:color w:val="auto"/>
          <w:sz w:val="24"/>
          <w:highlight w:val="none"/>
        </w:rPr>
      </w:pPr>
      <w:r>
        <w:rPr>
          <w:rFonts w:hint="eastAsia" w:ascii="宋体" w:hAnsi="宋体"/>
          <w:color w:val="auto"/>
          <w:sz w:val="24"/>
          <w:highlight w:val="none"/>
        </w:rPr>
        <w:t>　　（2）具有良好的商业信誉和健全的财务会计制度；</w:t>
      </w:r>
    </w:p>
    <w:p w14:paraId="28A3CD52">
      <w:pPr>
        <w:spacing w:line="480" w:lineRule="exact"/>
        <w:rPr>
          <w:rFonts w:ascii="宋体" w:hAnsi="宋体"/>
          <w:color w:val="auto"/>
          <w:sz w:val="24"/>
          <w:highlight w:val="none"/>
        </w:rPr>
      </w:pPr>
      <w:r>
        <w:rPr>
          <w:rFonts w:hint="eastAsia" w:ascii="宋体" w:hAnsi="宋体"/>
          <w:color w:val="auto"/>
          <w:sz w:val="24"/>
          <w:highlight w:val="none"/>
        </w:rPr>
        <w:t>　　（3）具有履行合同所必需的设备和专业技术能力；</w:t>
      </w:r>
    </w:p>
    <w:p w14:paraId="70F88580">
      <w:pPr>
        <w:spacing w:line="480" w:lineRule="exact"/>
        <w:rPr>
          <w:rFonts w:ascii="宋体" w:hAnsi="宋体"/>
          <w:color w:val="auto"/>
          <w:sz w:val="24"/>
          <w:highlight w:val="none"/>
        </w:rPr>
      </w:pPr>
      <w:r>
        <w:rPr>
          <w:rFonts w:hint="eastAsia" w:ascii="宋体" w:hAnsi="宋体"/>
          <w:color w:val="auto"/>
          <w:sz w:val="24"/>
          <w:highlight w:val="none"/>
        </w:rPr>
        <w:t>　　（4）有依法缴纳税收和社会保障资金的良好记录；</w:t>
      </w:r>
    </w:p>
    <w:p w14:paraId="119A1D2D">
      <w:pPr>
        <w:spacing w:line="480" w:lineRule="exact"/>
        <w:rPr>
          <w:rFonts w:ascii="宋体" w:hAnsi="宋体"/>
          <w:color w:val="auto"/>
          <w:sz w:val="24"/>
          <w:highlight w:val="none"/>
          <w:u w:val="single"/>
        </w:rPr>
      </w:pPr>
      <w:r>
        <w:rPr>
          <w:rFonts w:hint="eastAsia" w:ascii="宋体" w:hAnsi="宋体"/>
          <w:color w:val="auto"/>
          <w:sz w:val="24"/>
          <w:highlight w:val="none"/>
        </w:rPr>
        <w:t>　　（5）近三年内，在经营活动中没有重大违法记录；</w:t>
      </w:r>
    </w:p>
    <w:p w14:paraId="6F5ADCEA">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就我方全部所知，兹证明上述声明是真实、正确的，并已提供了全部现有资料和数据，我方同意根据贵方要求出示文件予以证实。</w:t>
      </w:r>
    </w:p>
    <w:p w14:paraId="2E9E2AF1">
      <w:pPr>
        <w:spacing w:line="480" w:lineRule="exact"/>
        <w:rPr>
          <w:rFonts w:ascii="宋体" w:hAnsi="宋体"/>
          <w:color w:val="auto"/>
          <w:sz w:val="24"/>
          <w:highlight w:val="none"/>
          <w:u w:val="single"/>
        </w:rPr>
      </w:pPr>
      <w:r>
        <w:rPr>
          <w:rFonts w:hint="eastAsia" w:ascii="宋体" w:hAnsi="宋体"/>
          <w:color w:val="auto"/>
          <w:sz w:val="24"/>
          <w:highlight w:val="none"/>
        </w:rPr>
        <w:t xml:space="preserve">   投标人代表签名：</w:t>
      </w:r>
    </w:p>
    <w:p w14:paraId="67AE5A14">
      <w:pPr>
        <w:spacing w:line="480" w:lineRule="exact"/>
        <w:ind w:firstLine="240" w:firstLineChars="100"/>
        <w:rPr>
          <w:rFonts w:ascii="宋体" w:hAnsi="宋体"/>
          <w:color w:val="auto"/>
          <w:sz w:val="24"/>
          <w:highlight w:val="none"/>
        </w:rPr>
      </w:pPr>
      <w:r>
        <w:rPr>
          <w:rFonts w:hint="eastAsia" w:ascii="宋体" w:hAnsi="宋体"/>
          <w:color w:val="auto"/>
          <w:sz w:val="24"/>
          <w:highlight w:val="none"/>
        </w:rPr>
        <w:t xml:space="preserve"> 投标人（全称并加盖公章）：</w:t>
      </w:r>
    </w:p>
    <w:p w14:paraId="298A9313">
      <w:pPr>
        <w:spacing w:line="480" w:lineRule="exact"/>
        <w:rPr>
          <w:rFonts w:ascii="宋体" w:hAnsi="宋体"/>
          <w:color w:val="auto"/>
          <w:sz w:val="24"/>
          <w:highlight w:val="none"/>
        </w:rPr>
      </w:pPr>
      <w:r>
        <w:rPr>
          <w:rFonts w:hint="eastAsia" w:ascii="宋体" w:hAnsi="宋体"/>
          <w:color w:val="auto"/>
          <w:sz w:val="24"/>
          <w:highlight w:val="none"/>
        </w:rPr>
        <w:t xml:space="preserve">   日      期：年月  日</w:t>
      </w:r>
    </w:p>
    <w:p w14:paraId="28B1F296">
      <w:pPr>
        <w:rPr>
          <w:rFonts w:ascii="宋体" w:hAnsi="宋体"/>
          <w:color w:val="auto"/>
          <w:szCs w:val="21"/>
          <w:highlight w:val="none"/>
        </w:rPr>
      </w:pPr>
    </w:p>
    <w:p w14:paraId="4922925A">
      <w:pPr>
        <w:spacing w:line="380" w:lineRule="exact"/>
        <w:jc w:val="center"/>
        <w:rPr>
          <w:rFonts w:hAnsi="宋体"/>
          <w:b/>
          <w:color w:val="auto"/>
          <w:sz w:val="36"/>
          <w:highlight w:val="none"/>
        </w:rPr>
      </w:pPr>
      <w:r>
        <w:rPr>
          <w:rFonts w:ascii="宋体" w:hAnsi="宋体"/>
          <w:color w:val="auto"/>
          <w:sz w:val="24"/>
          <w:highlight w:val="none"/>
        </w:rPr>
        <w:br w:type="page"/>
      </w:r>
      <w:r>
        <w:rPr>
          <w:rFonts w:hint="eastAsia" w:ascii="宋体" w:hAnsi="宋体"/>
          <w:b/>
          <w:color w:val="auto"/>
          <w:sz w:val="36"/>
          <w:highlight w:val="none"/>
        </w:rPr>
        <w:t>4、投标人的资格证明材料</w:t>
      </w:r>
      <w:bookmarkStart w:id="112" w:name="_Toc467163872"/>
      <w:bookmarkStart w:id="113" w:name="_Toc459798542"/>
      <w:bookmarkStart w:id="114" w:name="_Toc462989264"/>
      <w:bookmarkStart w:id="115" w:name="_Toc22653"/>
      <w:bookmarkStart w:id="116" w:name="_Toc462990134"/>
      <w:bookmarkStart w:id="117" w:name="_Toc462994804"/>
    </w:p>
    <w:p w14:paraId="72FE2802">
      <w:pPr>
        <w:pStyle w:val="35"/>
        <w:spacing w:line="600" w:lineRule="exact"/>
        <w:jc w:val="center"/>
        <w:outlineLvl w:val="9"/>
        <w:rPr>
          <w:rFonts w:hAnsi="宋体"/>
          <w:b/>
          <w:color w:val="auto"/>
          <w:sz w:val="36"/>
          <w:highlight w:val="none"/>
        </w:rPr>
      </w:pPr>
      <w:r>
        <w:rPr>
          <w:rFonts w:hint="eastAsia" w:hAnsi="宋体"/>
          <w:b/>
          <w:color w:val="auto"/>
          <w:sz w:val="32"/>
          <w:szCs w:val="32"/>
          <w:highlight w:val="none"/>
        </w:rPr>
        <w:t>4.1合格有效的营业执照复印件</w:t>
      </w:r>
    </w:p>
    <w:p w14:paraId="64E69A7E">
      <w:pPr>
        <w:pStyle w:val="35"/>
        <w:jc w:val="center"/>
        <w:outlineLvl w:val="9"/>
        <w:rPr>
          <w:rFonts w:hAnsi="宋体"/>
          <w:b/>
          <w:color w:val="auto"/>
          <w:sz w:val="24"/>
          <w:highlight w:val="none"/>
        </w:rPr>
      </w:pPr>
    </w:p>
    <w:p w14:paraId="0163339B">
      <w:pPr>
        <w:pStyle w:val="35"/>
        <w:jc w:val="center"/>
        <w:outlineLvl w:val="9"/>
        <w:rPr>
          <w:rFonts w:hAnsi="宋体"/>
          <w:b/>
          <w:color w:val="auto"/>
          <w:sz w:val="24"/>
          <w:highlight w:val="none"/>
        </w:rPr>
      </w:pPr>
    </w:p>
    <w:p w14:paraId="0B60F155">
      <w:pPr>
        <w:spacing w:line="380" w:lineRule="exact"/>
        <w:rPr>
          <w:rFonts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14:paraId="10941B73">
      <w:pPr>
        <w:spacing w:line="380" w:lineRule="exact"/>
        <w:rPr>
          <w:rFonts w:ascii="宋体" w:hAnsi="宋体"/>
          <w:color w:val="auto"/>
          <w:sz w:val="24"/>
          <w:highlight w:val="none"/>
        </w:rPr>
      </w:pPr>
    </w:p>
    <w:p w14:paraId="6D75DA37">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现附上由（签发机关名称）签发的我方三证合一营业执照复印件，该执照真实有效。</w:t>
      </w:r>
    </w:p>
    <w:p w14:paraId="0BDBEAA8">
      <w:pPr>
        <w:spacing w:line="380" w:lineRule="exact"/>
        <w:rPr>
          <w:rFonts w:ascii="宋体" w:hAnsi="宋体"/>
          <w:color w:val="auto"/>
          <w:sz w:val="24"/>
          <w:highlight w:val="none"/>
        </w:rPr>
      </w:pPr>
    </w:p>
    <w:p w14:paraId="34BEBB9D">
      <w:pPr>
        <w:spacing w:line="380" w:lineRule="exact"/>
        <w:rPr>
          <w:rFonts w:ascii="宋体" w:hAnsi="宋体"/>
          <w:color w:val="auto"/>
          <w:sz w:val="24"/>
          <w:highlight w:val="none"/>
        </w:rPr>
      </w:pPr>
    </w:p>
    <w:p w14:paraId="27257905">
      <w:pPr>
        <w:spacing w:line="380" w:lineRule="exact"/>
        <w:ind w:firstLine="3240" w:firstLineChars="1350"/>
        <w:rPr>
          <w:rFonts w:ascii="宋体" w:hAnsi="宋体"/>
          <w:color w:val="auto"/>
          <w:sz w:val="24"/>
          <w:highlight w:val="none"/>
        </w:rPr>
      </w:pPr>
    </w:p>
    <w:p w14:paraId="01D373BA">
      <w:pPr>
        <w:spacing w:line="380" w:lineRule="exact"/>
        <w:ind w:firstLine="3240" w:firstLineChars="1350"/>
        <w:rPr>
          <w:rFonts w:ascii="宋体" w:hAnsi="宋体"/>
          <w:color w:val="auto"/>
          <w:sz w:val="24"/>
          <w:highlight w:val="none"/>
        </w:rPr>
      </w:pPr>
    </w:p>
    <w:p w14:paraId="0E3F9138">
      <w:pPr>
        <w:spacing w:line="380" w:lineRule="exact"/>
        <w:ind w:firstLine="3240" w:firstLineChars="1350"/>
        <w:rPr>
          <w:rFonts w:ascii="宋体" w:hAnsi="宋体"/>
          <w:color w:val="auto"/>
          <w:sz w:val="24"/>
          <w:highlight w:val="none"/>
        </w:rPr>
      </w:pPr>
      <w:r>
        <w:rPr>
          <w:rFonts w:hint="eastAsia" w:ascii="宋体" w:hAnsi="宋体"/>
          <w:color w:val="auto"/>
          <w:sz w:val="24"/>
          <w:highlight w:val="none"/>
        </w:rPr>
        <w:t>投标人代表签名：</w:t>
      </w:r>
    </w:p>
    <w:p w14:paraId="35B0D6A4">
      <w:pPr>
        <w:spacing w:line="380" w:lineRule="exact"/>
        <w:rPr>
          <w:rFonts w:ascii="宋体" w:hAnsi="宋体"/>
          <w:color w:val="auto"/>
          <w:sz w:val="24"/>
          <w:highlight w:val="none"/>
        </w:rPr>
      </w:pPr>
      <w:r>
        <w:rPr>
          <w:rFonts w:hint="eastAsia" w:ascii="宋体" w:hAnsi="宋体"/>
          <w:color w:val="auto"/>
          <w:sz w:val="24"/>
          <w:highlight w:val="none"/>
        </w:rPr>
        <w:t xml:space="preserve">                           投 标 人（全称并加盖公章）：</w:t>
      </w:r>
    </w:p>
    <w:p w14:paraId="2176EEA1">
      <w:pPr>
        <w:spacing w:line="380" w:lineRule="exact"/>
        <w:rPr>
          <w:rFonts w:ascii="宋体" w:hAnsi="宋体"/>
          <w:color w:val="auto"/>
          <w:sz w:val="24"/>
          <w:highlight w:val="none"/>
        </w:rPr>
      </w:pPr>
    </w:p>
    <w:p w14:paraId="698C06BC">
      <w:pPr>
        <w:pStyle w:val="35"/>
        <w:jc w:val="center"/>
        <w:outlineLvl w:val="9"/>
        <w:rPr>
          <w:rFonts w:hAnsi="宋体"/>
          <w:b/>
          <w:color w:val="auto"/>
          <w:sz w:val="24"/>
          <w:highlight w:val="none"/>
        </w:rPr>
      </w:pPr>
    </w:p>
    <w:p w14:paraId="5BB933DF">
      <w:pPr>
        <w:pStyle w:val="35"/>
        <w:jc w:val="center"/>
        <w:outlineLvl w:val="9"/>
        <w:rPr>
          <w:rFonts w:hAnsi="宋体"/>
          <w:b/>
          <w:color w:val="auto"/>
          <w:sz w:val="24"/>
          <w:highlight w:val="none"/>
        </w:rPr>
      </w:pPr>
    </w:p>
    <w:p w14:paraId="3A887AC6">
      <w:pPr>
        <w:pStyle w:val="35"/>
        <w:jc w:val="center"/>
        <w:outlineLvl w:val="9"/>
        <w:rPr>
          <w:rFonts w:hAnsi="宋体"/>
          <w:b/>
          <w:color w:val="auto"/>
          <w:sz w:val="24"/>
          <w:highlight w:val="none"/>
        </w:rPr>
      </w:pPr>
    </w:p>
    <w:p w14:paraId="2C182AB7">
      <w:pPr>
        <w:pStyle w:val="35"/>
        <w:jc w:val="center"/>
        <w:outlineLvl w:val="9"/>
        <w:rPr>
          <w:rFonts w:hAnsi="宋体"/>
          <w:b/>
          <w:color w:val="auto"/>
          <w:sz w:val="24"/>
          <w:highlight w:val="none"/>
        </w:rPr>
      </w:pPr>
    </w:p>
    <w:p w14:paraId="30584CD5">
      <w:pPr>
        <w:pStyle w:val="35"/>
        <w:jc w:val="center"/>
        <w:outlineLvl w:val="9"/>
        <w:rPr>
          <w:rFonts w:hAnsi="宋体"/>
          <w:b/>
          <w:color w:val="auto"/>
          <w:sz w:val="24"/>
          <w:highlight w:val="none"/>
        </w:rPr>
      </w:pPr>
    </w:p>
    <w:p w14:paraId="0B1073B9">
      <w:pPr>
        <w:pStyle w:val="35"/>
        <w:jc w:val="center"/>
        <w:outlineLvl w:val="9"/>
        <w:rPr>
          <w:rFonts w:hAnsi="宋体"/>
          <w:b/>
          <w:color w:val="auto"/>
          <w:sz w:val="24"/>
          <w:highlight w:val="none"/>
        </w:rPr>
      </w:pPr>
    </w:p>
    <w:p w14:paraId="69D411ED">
      <w:pPr>
        <w:pStyle w:val="35"/>
        <w:jc w:val="center"/>
        <w:outlineLvl w:val="9"/>
        <w:rPr>
          <w:rFonts w:hAnsi="宋体"/>
          <w:b/>
          <w:color w:val="auto"/>
          <w:sz w:val="24"/>
          <w:highlight w:val="none"/>
        </w:rPr>
      </w:pPr>
    </w:p>
    <w:p w14:paraId="0103DBD9">
      <w:pPr>
        <w:pStyle w:val="35"/>
        <w:jc w:val="center"/>
        <w:outlineLvl w:val="9"/>
        <w:rPr>
          <w:rFonts w:hAnsi="宋体"/>
          <w:b/>
          <w:color w:val="auto"/>
          <w:sz w:val="24"/>
          <w:highlight w:val="none"/>
        </w:rPr>
      </w:pPr>
    </w:p>
    <w:p w14:paraId="5F315B24">
      <w:pPr>
        <w:pStyle w:val="35"/>
        <w:jc w:val="center"/>
        <w:outlineLvl w:val="9"/>
        <w:rPr>
          <w:rFonts w:hAnsi="宋体"/>
          <w:b/>
          <w:color w:val="auto"/>
          <w:sz w:val="24"/>
          <w:highlight w:val="none"/>
        </w:rPr>
      </w:pPr>
    </w:p>
    <w:p w14:paraId="665C5775">
      <w:pPr>
        <w:pStyle w:val="35"/>
        <w:jc w:val="center"/>
        <w:outlineLvl w:val="9"/>
        <w:rPr>
          <w:rFonts w:hAnsi="宋体"/>
          <w:b/>
          <w:color w:val="auto"/>
          <w:sz w:val="24"/>
          <w:highlight w:val="none"/>
        </w:rPr>
      </w:pPr>
    </w:p>
    <w:p w14:paraId="0339441C">
      <w:pPr>
        <w:widowControl/>
        <w:spacing w:line="360" w:lineRule="auto"/>
        <w:jc w:val="center"/>
        <w:rPr>
          <w:color w:val="auto"/>
          <w:sz w:val="24"/>
          <w:highlight w:val="none"/>
        </w:rPr>
      </w:pPr>
      <w:r>
        <w:rPr>
          <w:rFonts w:hint="eastAsia" w:ascii="宋体" w:hAnsi="宋体" w:cs="宋体"/>
          <w:color w:val="auto"/>
          <w:sz w:val="24"/>
          <w:highlight w:val="none"/>
        </w:rPr>
        <w:t>按招标文件“资格标准”要求提供</w:t>
      </w:r>
    </w:p>
    <w:p w14:paraId="3907ACB0">
      <w:pPr>
        <w:pStyle w:val="35"/>
        <w:jc w:val="center"/>
        <w:outlineLvl w:val="9"/>
        <w:rPr>
          <w:rFonts w:hAnsi="宋体"/>
          <w:b/>
          <w:color w:val="auto"/>
          <w:sz w:val="24"/>
          <w:highlight w:val="none"/>
        </w:rPr>
      </w:pPr>
    </w:p>
    <w:p w14:paraId="70761C47">
      <w:pPr>
        <w:pStyle w:val="35"/>
        <w:jc w:val="center"/>
        <w:outlineLvl w:val="9"/>
        <w:rPr>
          <w:rFonts w:hAnsi="宋体"/>
          <w:b/>
          <w:color w:val="auto"/>
          <w:sz w:val="24"/>
          <w:highlight w:val="none"/>
        </w:rPr>
      </w:pPr>
    </w:p>
    <w:p w14:paraId="7541DC16">
      <w:pPr>
        <w:pStyle w:val="35"/>
        <w:jc w:val="center"/>
        <w:outlineLvl w:val="9"/>
        <w:rPr>
          <w:rFonts w:hAnsi="宋体"/>
          <w:b/>
          <w:color w:val="auto"/>
          <w:sz w:val="24"/>
          <w:highlight w:val="none"/>
        </w:rPr>
      </w:pPr>
    </w:p>
    <w:p w14:paraId="1321E12B">
      <w:pPr>
        <w:pStyle w:val="35"/>
        <w:jc w:val="center"/>
        <w:outlineLvl w:val="9"/>
        <w:rPr>
          <w:rFonts w:hAnsi="宋体"/>
          <w:b/>
          <w:color w:val="auto"/>
          <w:sz w:val="24"/>
          <w:highlight w:val="none"/>
        </w:rPr>
      </w:pPr>
    </w:p>
    <w:p w14:paraId="2F8F0C6B">
      <w:pPr>
        <w:pStyle w:val="35"/>
        <w:jc w:val="center"/>
        <w:outlineLvl w:val="9"/>
        <w:rPr>
          <w:rFonts w:hAnsi="宋体"/>
          <w:b/>
          <w:color w:val="auto"/>
          <w:sz w:val="24"/>
          <w:highlight w:val="none"/>
        </w:rPr>
      </w:pPr>
    </w:p>
    <w:p w14:paraId="1B167657">
      <w:pPr>
        <w:pStyle w:val="35"/>
        <w:jc w:val="center"/>
        <w:outlineLvl w:val="9"/>
        <w:rPr>
          <w:rFonts w:hAnsi="宋体"/>
          <w:b/>
          <w:color w:val="auto"/>
          <w:sz w:val="24"/>
          <w:highlight w:val="none"/>
        </w:rPr>
      </w:pPr>
    </w:p>
    <w:p w14:paraId="0A466948">
      <w:pPr>
        <w:pStyle w:val="35"/>
        <w:outlineLvl w:val="9"/>
        <w:rPr>
          <w:rFonts w:hAnsi="宋体"/>
          <w:b/>
          <w:color w:val="auto"/>
          <w:sz w:val="24"/>
          <w:highlight w:val="none"/>
        </w:rPr>
      </w:pPr>
    </w:p>
    <w:p w14:paraId="2FF57E9A">
      <w:pPr>
        <w:pStyle w:val="35"/>
        <w:jc w:val="center"/>
        <w:outlineLvl w:val="9"/>
        <w:rPr>
          <w:rFonts w:hAnsi="宋体"/>
          <w:b/>
          <w:color w:val="auto"/>
          <w:sz w:val="24"/>
          <w:highlight w:val="none"/>
        </w:rPr>
      </w:pPr>
    </w:p>
    <w:p w14:paraId="38D15355">
      <w:pPr>
        <w:pStyle w:val="35"/>
        <w:jc w:val="center"/>
        <w:outlineLvl w:val="9"/>
        <w:rPr>
          <w:rFonts w:hAnsi="宋体"/>
          <w:b/>
          <w:color w:val="auto"/>
          <w:sz w:val="36"/>
          <w:highlight w:val="none"/>
        </w:rPr>
      </w:pPr>
    </w:p>
    <w:p w14:paraId="2CD0E346">
      <w:pPr>
        <w:pStyle w:val="35"/>
        <w:jc w:val="center"/>
        <w:outlineLvl w:val="9"/>
        <w:rPr>
          <w:rFonts w:hAnsi="宋体"/>
          <w:b/>
          <w:color w:val="auto"/>
          <w:sz w:val="36"/>
          <w:highlight w:val="none"/>
        </w:rPr>
      </w:pPr>
    </w:p>
    <w:p w14:paraId="22A48D5E">
      <w:pPr>
        <w:pStyle w:val="35"/>
        <w:jc w:val="center"/>
        <w:outlineLvl w:val="9"/>
        <w:rPr>
          <w:rFonts w:hAnsi="宋体"/>
          <w:b/>
          <w:color w:val="auto"/>
          <w:sz w:val="36"/>
          <w:highlight w:val="none"/>
        </w:rPr>
      </w:pPr>
    </w:p>
    <w:p w14:paraId="0CB6EEA9">
      <w:pPr>
        <w:pStyle w:val="35"/>
        <w:jc w:val="center"/>
        <w:outlineLvl w:val="9"/>
        <w:rPr>
          <w:rFonts w:hAnsi="宋体"/>
          <w:b/>
          <w:color w:val="auto"/>
          <w:sz w:val="36"/>
          <w:highlight w:val="none"/>
        </w:rPr>
      </w:pPr>
    </w:p>
    <w:p w14:paraId="053E0A82">
      <w:pPr>
        <w:pStyle w:val="35"/>
        <w:jc w:val="center"/>
        <w:outlineLvl w:val="9"/>
        <w:rPr>
          <w:rFonts w:hAnsi="宋体"/>
          <w:b/>
          <w:color w:val="auto"/>
          <w:sz w:val="36"/>
          <w:highlight w:val="none"/>
        </w:rPr>
      </w:pPr>
    </w:p>
    <w:p w14:paraId="13F1BB9C">
      <w:pPr>
        <w:pStyle w:val="35"/>
        <w:jc w:val="center"/>
        <w:outlineLvl w:val="9"/>
        <w:rPr>
          <w:rFonts w:hAnsi="宋体"/>
          <w:b/>
          <w:color w:val="auto"/>
          <w:sz w:val="36"/>
          <w:highlight w:val="none"/>
        </w:rPr>
      </w:pPr>
    </w:p>
    <w:p w14:paraId="13B57A2F">
      <w:pPr>
        <w:pStyle w:val="35"/>
        <w:jc w:val="center"/>
        <w:outlineLvl w:val="9"/>
        <w:rPr>
          <w:rFonts w:hAnsi="宋体"/>
          <w:b/>
          <w:color w:val="auto"/>
          <w:sz w:val="36"/>
          <w:highlight w:val="none"/>
        </w:rPr>
      </w:pPr>
    </w:p>
    <w:p w14:paraId="66F83DBB">
      <w:pPr>
        <w:pStyle w:val="35"/>
        <w:jc w:val="center"/>
        <w:outlineLvl w:val="9"/>
        <w:rPr>
          <w:rFonts w:hAnsi="宋体"/>
          <w:b/>
          <w:color w:val="auto"/>
          <w:sz w:val="36"/>
          <w:highlight w:val="none"/>
        </w:rPr>
      </w:pPr>
    </w:p>
    <w:p w14:paraId="68BBCFA4">
      <w:pPr>
        <w:pStyle w:val="35"/>
        <w:jc w:val="center"/>
        <w:outlineLvl w:val="9"/>
        <w:rPr>
          <w:rFonts w:hAnsi="宋体"/>
          <w:color w:val="auto"/>
          <w:highlight w:val="none"/>
        </w:rPr>
      </w:pPr>
      <w:r>
        <w:rPr>
          <w:rFonts w:hint="eastAsia" w:hAnsi="宋体"/>
          <w:b/>
          <w:color w:val="auto"/>
          <w:sz w:val="36"/>
          <w:highlight w:val="none"/>
        </w:rPr>
        <w:t>4.2</w:t>
      </w:r>
      <w:r>
        <w:rPr>
          <w:rFonts w:hint="eastAsia" w:hAnsi="宋体"/>
          <w:b/>
          <w:color w:val="auto"/>
          <w:sz w:val="36"/>
          <w:highlight w:val="none"/>
          <w:lang w:eastAsia="zh-CN"/>
        </w:rPr>
        <w:t>法定代表人</w:t>
      </w:r>
      <w:r>
        <w:rPr>
          <w:rFonts w:hint="eastAsia" w:hAnsi="宋体"/>
          <w:b/>
          <w:color w:val="auto"/>
          <w:sz w:val="36"/>
          <w:highlight w:val="none"/>
        </w:rPr>
        <w:t>授权书</w:t>
      </w:r>
      <w:bookmarkEnd w:id="112"/>
      <w:bookmarkEnd w:id="113"/>
      <w:bookmarkEnd w:id="114"/>
      <w:bookmarkEnd w:id="115"/>
      <w:bookmarkEnd w:id="116"/>
      <w:bookmarkEnd w:id="117"/>
    </w:p>
    <w:p w14:paraId="5A9D5AE0">
      <w:pPr>
        <w:pStyle w:val="34"/>
        <w:numPr>
          <w:ilvl w:val="0"/>
          <w:numId w:val="0"/>
        </w:numPr>
        <w:adjustRightInd/>
        <w:spacing w:before="0" w:line="240" w:lineRule="atLeast"/>
        <w:outlineLvl w:val="9"/>
        <w:rPr>
          <w:rFonts w:ascii="宋体" w:hAnsi="宋体" w:eastAsia="宋体"/>
          <w:color w:val="auto"/>
          <w:sz w:val="24"/>
          <w:szCs w:val="24"/>
          <w:highlight w:val="none"/>
        </w:rPr>
      </w:pPr>
    </w:p>
    <w:p w14:paraId="74767E85">
      <w:pPr>
        <w:spacing w:line="480" w:lineRule="exact"/>
        <w:rPr>
          <w:rFonts w:ascii="宋体" w:hAnsi="宋体"/>
          <w:color w:val="auto"/>
          <w:sz w:val="24"/>
          <w:highlight w:val="none"/>
        </w:rPr>
      </w:pPr>
      <w:r>
        <w:rPr>
          <w:rFonts w:hint="eastAsia" w:ascii="宋体" w:hAnsi="宋体"/>
          <w:color w:val="auto"/>
          <w:sz w:val="24"/>
          <w:highlight w:val="none"/>
          <w:u w:val="single"/>
        </w:rPr>
        <w:t xml:space="preserve"> 福建省宏瑞招标代理有限公司  </w:t>
      </w:r>
      <w:r>
        <w:rPr>
          <w:rFonts w:hint="eastAsia" w:ascii="宋体" w:hAnsi="宋体"/>
          <w:color w:val="auto"/>
          <w:sz w:val="24"/>
          <w:highlight w:val="none"/>
        </w:rPr>
        <w:t>：</w:t>
      </w:r>
    </w:p>
    <w:p w14:paraId="4AA4F2FA">
      <w:pPr>
        <w:pStyle w:val="10"/>
        <w:snapToGrid w:val="0"/>
        <w:spacing w:line="480" w:lineRule="exact"/>
        <w:ind w:firstLine="480" w:firstLineChars="200"/>
        <w:jc w:val="left"/>
        <w:rPr>
          <w:rFonts w:hAnsi="宋体"/>
          <w:color w:val="auto"/>
          <w:sz w:val="24"/>
          <w:szCs w:val="24"/>
          <w:highlight w:val="none"/>
        </w:rPr>
      </w:pPr>
      <w:r>
        <w:rPr>
          <w:rFonts w:hint="eastAsia" w:hAnsi="宋体"/>
          <w:color w:val="auto"/>
          <w:sz w:val="24"/>
          <w:szCs w:val="24"/>
          <w:highlight w:val="none"/>
          <w:u w:val="single"/>
        </w:rPr>
        <w:t>（投标人全称）</w:t>
      </w:r>
      <w:r>
        <w:rPr>
          <w:rFonts w:hint="eastAsia" w:hAnsi="宋体"/>
          <w:color w:val="auto"/>
          <w:sz w:val="24"/>
          <w:szCs w:val="24"/>
          <w:highlight w:val="none"/>
          <w:lang w:eastAsia="zh-CN"/>
        </w:rPr>
        <w:t>法定代表人</w:t>
      </w:r>
      <w:r>
        <w:rPr>
          <w:rFonts w:hint="eastAsia" w:hAnsi="宋体"/>
          <w:color w:val="auto"/>
          <w:sz w:val="24"/>
          <w:szCs w:val="24"/>
          <w:highlight w:val="none"/>
          <w:u w:val="single"/>
        </w:rPr>
        <w:t xml:space="preserve">  （</w:t>
      </w:r>
      <w:r>
        <w:rPr>
          <w:rFonts w:hint="eastAsia" w:hAnsi="宋体"/>
          <w:color w:val="auto"/>
          <w:sz w:val="24"/>
          <w:szCs w:val="24"/>
          <w:highlight w:val="none"/>
          <w:u w:val="single"/>
          <w:lang w:eastAsia="zh-CN"/>
        </w:rPr>
        <w:t>法定代表人</w:t>
      </w:r>
      <w:r>
        <w:rPr>
          <w:rFonts w:hint="eastAsia" w:hAnsi="宋体"/>
          <w:color w:val="auto"/>
          <w:sz w:val="24"/>
          <w:szCs w:val="24"/>
          <w:highlight w:val="none"/>
          <w:u w:val="single"/>
        </w:rPr>
        <w:t xml:space="preserve">姓名） </w:t>
      </w:r>
      <w:r>
        <w:rPr>
          <w:rFonts w:hint="eastAsia" w:hAnsi="宋体"/>
          <w:color w:val="auto"/>
          <w:sz w:val="24"/>
          <w:szCs w:val="24"/>
          <w:highlight w:val="none"/>
        </w:rPr>
        <w:t xml:space="preserve"> 授权</w:t>
      </w:r>
      <w:r>
        <w:rPr>
          <w:rFonts w:hint="eastAsia" w:hAnsi="宋体"/>
          <w:color w:val="auto"/>
          <w:sz w:val="24"/>
          <w:szCs w:val="24"/>
          <w:highlight w:val="none"/>
          <w:u w:val="single"/>
        </w:rPr>
        <w:t xml:space="preserve">  （投标人代表姓名）</w:t>
      </w:r>
      <w:r>
        <w:rPr>
          <w:rFonts w:hint="eastAsia" w:hAnsi="宋体"/>
          <w:color w:val="auto"/>
          <w:sz w:val="24"/>
          <w:szCs w:val="24"/>
          <w:highlight w:val="none"/>
        </w:rPr>
        <w:t>为投标人代表，代表本公司参加贵司组织的项目（</w:t>
      </w:r>
      <w:r>
        <w:rPr>
          <w:rFonts w:hint="eastAsia" w:hAnsi="宋体"/>
          <w:color w:val="auto"/>
          <w:sz w:val="24"/>
          <w:szCs w:val="24"/>
          <w:highlight w:val="none"/>
          <w:lang w:eastAsia="zh-CN"/>
        </w:rPr>
        <w:t>项目编号</w:t>
      </w:r>
      <w:r>
        <w:rPr>
          <w:rFonts w:hint="eastAsia" w:hAnsi="宋体"/>
          <w:color w:val="auto"/>
          <w:sz w:val="24"/>
          <w:szCs w:val="24"/>
          <w:highlight w:val="none"/>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6E0904FF">
      <w:pPr>
        <w:pStyle w:val="10"/>
        <w:snapToGrid w:val="0"/>
        <w:spacing w:line="48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7CEF6737">
      <w:pPr>
        <w:spacing w:line="480" w:lineRule="exact"/>
        <w:ind w:firstLine="480" w:firstLineChars="200"/>
        <w:rPr>
          <w:rFonts w:ascii="宋体" w:hAnsi="宋体"/>
          <w:color w:val="auto"/>
          <w:sz w:val="24"/>
          <w:highlight w:val="none"/>
        </w:rPr>
      </w:pPr>
    </w:p>
    <w:p w14:paraId="2D43609E">
      <w:pPr>
        <w:spacing w:line="480" w:lineRule="exact"/>
        <w:rPr>
          <w:rFonts w:ascii="宋体" w:hAnsi="宋体"/>
          <w:color w:val="auto"/>
          <w:sz w:val="24"/>
          <w:highlight w:val="none"/>
        </w:rPr>
      </w:pPr>
    </w:p>
    <w:p w14:paraId="1A3C2CF4">
      <w:pPr>
        <w:spacing w:line="480" w:lineRule="exact"/>
        <w:rPr>
          <w:rFonts w:ascii="宋体" w:hAnsi="宋体"/>
          <w:color w:val="auto"/>
          <w:sz w:val="24"/>
          <w:highlight w:val="none"/>
        </w:rPr>
      </w:pPr>
      <w:r>
        <w:rPr>
          <w:rFonts w:hint="eastAsia" w:ascii="宋体" w:hAnsi="宋体"/>
          <w:color w:val="auto"/>
          <w:sz w:val="24"/>
          <w:highlight w:val="none"/>
          <w:lang w:eastAsia="zh-CN"/>
        </w:rPr>
        <w:t>法定代表人</w:t>
      </w:r>
      <w:r>
        <w:rPr>
          <w:rFonts w:hint="eastAsia" w:ascii="宋体" w:hAnsi="宋体"/>
          <w:color w:val="auto"/>
          <w:sz w:val="24"/>
          <w:highlight w:val="none"/>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身份证号：</w:t>
      </w:r>
    </w:p>
    <w:p w14:paraId="3BC979F5">
      <w:pPr>
        <w:spacing w:line="480" w:lineRule="exact"/>
        <w:rPr>
          <w:rFonts w:ascii="宋体" w:hAnsi="宋体"/>
          <w:color w:val="auto"/>
          <w:sz w:val="24"/>
          <w:highlight w:val="none"/>
        </w:rPr>
      </w:pPr>
      <w:r>
        <w:rPr>
          <w:rFonts w:hint="eastAsia" w:ascii="宋体" w:hAnsi="宋体"/>
          <w:color w:val="auto"/>
          <w:sz w:val="24"/>
          <w:highlight w:val="none"/>
        </w:rPr>
        <w:t>投标人代表：</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性别：</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身份证号：</w:t>
      </w:r>
    </w:p>
    <w:p w14:paraId="78ECEC4F">
      <w:pPr>
        <w:spacing w:line="480" w:lineRule="exact"/>
        <w:rPr>
          <w:rFonts w:ascii="宋体" w:hAnsi="宋体"/>
          <w:color w:val="auto"/>
          <w:sz w:val="24"/>
          <w:highlight w:val="none"/>
        </w:rPr>
      </w:pPr>
      <w:r>
        <w:rPr>
          <w:rFonts w:hint="eastAsia" w:ascii="宋体" w:hAnsi="宋体"/>
          <w:color w:val="auto"/>
          <w:sz w:val="24"/>
          <w:highlight w:val="none"/>
        </w:rPr>
        <w:t>单位：</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部门：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职务：</w:t>
      </w:r>
    </w:p>
    <w:p w14:paraId="4BD0E7E1">
      <w:pPr>
        <w:spacing w:line="480" w:lineRule="exact"/>
        <w:rPr>
          <w:rFonts w:ascii="宋体" w:hAnsi="宋体"/>
          <w:color w:val="auto"/>
          <w:sz w:val="24"/>
          <w:highlight w:val="none"/>
        </w:rPr>
      </w:pPr>
      <w:r>
        <w:rPr>
          <w:rFonts w:hint="eastAsia" w:ascii="宋体" w:hAnsi="宋体"/>
          <w:color w:val="auto"/>
          <w:sz w:val="24"/>
          <w:highlight w:val="none"/>
        </w:rPr>
        <w:t>详细通讯地址：</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邮政编码</w:t>
      </w:r>
      <w:r>
        <w:rPr>
          <w:rFonts w:ascii="宋体" w:hAnsi="宋体"/>
          <w:color w:val="auto"/>
          <w:sz w:val="24"/>
          <w:highlight w:val="none"/>
        </w:rPr>
        <w:t>:</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电话：</w:t>
      </w:r>
    </w:p>
    <w:p w14:paraId="171B436C">
      <w:pPr>
        <w:spacing w:line="480" w:lineRule="exact"/>
        <w:rPr>
          <w:rFonts w:ascii="宋体" w:hAnsi="宋体"/>
          <w:color w:val="auto"/>
          <w:sz w:val="24"/>
          <w:highlight w:val="none"/>
        </w:rPr>
      </w:pPr>
    </w:p>
    <w:p w14:paraId="0D2F9F06">
      <w:pPr>
        <w:spacing w:line="480" w:lineRule="exact"/>
        <w:rPr>
          <w:rFonts w:ascii="宋体" w:hAnsi="宋体"/>
          <w:color w:val="auto"/>
          <w:sz w:val="24"/>
          <w:highlight w:val="none"/>
        </w:rPr>
      </w:pPr>
      <w:r>
        <w:rPr>
          <w:rFonts w:hint="eastAsia" w:ascii="宋体" w:hAnsi="宋体"/>
          <w:color w:val="auto"/>
          <w:sz w:val="24"/>
          <w:highlight w:val="none"/>
        </w:rPr>
        <w:t>附：授权人和被授权人身份证正反面复印件</w:t>
      </w:r>
      <w:r>
        <w:rPr>
          <w:rFonts w:hint="eastAsia" w:ascii="宋体" w:hAnsi="宋体"/>
          <w:b/>
          <w:color w:val="auto"/>
          <w:sz w:val="24"/>
          <w:highlight w:val="none"/>
        </w:rPr>
        <w:t>（须盖公章</w:t>
      </w:r>
      <w:r>
        <w:rPr>
          <w:rFonts w:hint="eastAsia" w:ascii="宋体" w:hAnsi="宋体"/>
          <w:color w:val="auto"/>
          <w:sz w:val="24"/>
          <w:highlight w:val="none"/>
        </w:rPr>
        <w:t>）</w:t>
      </w:r>
    </w:p>
    <w:p w14:paraId="24D38633">
      <w:pPr>
        <w:spacing w:line="480" w:lineRule="exact"/>
        <w:rPr>
          <w:rFonts w:ascii="宋体" w:hAnsi="宋体"/>
          <w:color w:val="auto"/>
          <w:sz w:val="24"/>
          <w:highlight w:val="none"/>
        </w:rPr>
      </w:pPr>
    </w:p>
    <w:p w14:paraId="4E47C21B">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授权方</w:t>
      </w:r>
    </w:p>
    <w:p w14:paraId="22AB8726">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14:paraId="56F428F3">
      <w:pPr>
        <w:spacing w:line="480" w:lineRule="exact"/>
        <w:ind w:firstLine="3960" w:firstLineChars="1650"/>
        <w:rPr>
          <w:rFonts w:ascii="宋体" w:hAnsi="宋体"/>
          <w:color w:val="auto"/>
          <w:sz w:val="24"/>
          <w:highlight w:val="none"/>
        </w:rPr>
      </w:pPr>
      <w:r>
        <w:rPr>
          <w:rFonts w:hint="eastAsia" w:ascii="宋体" w:hAnsi="宋体"/>
          <w:color w:val="auto"/>
          <w:sz w:val="24"/>
          <w:highlight w:val="none"/>
          <w:lang w:eastAsia="zh-CN"/>
        </w:rPr>
        <w:t>法定代表人</w:t>
      </w:r>
      <w:r>
        <w:rPr>
          <w:rFonts w:hint="eastAsia" w:ascii="宋体" w:hAnsi="宋体"/>
          <w:color w:val="auto"/>
          <w:sz w:val="24"/>
          <w:highlight w:val="none"/>
        </w:rPr>
        <w:t>签名或盖章：</w:t>
      </w:r>
    </w:p>
    <w:p w14:paraId="5406DD22">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日     期：</w:t>
      </w:r>
    </w:p>
    <w:p w14:paraId="7D95B7CA">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接受授权方</w:t>
      </w:r>
    </w:p>
    <w:p w14:paraId="277441E9">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投标人代表签名：</w:t>
      </w:r>
    </w:p>
    <w:p w14:paraId="31B0963C">
      <w:pPr>
        <w:spacing w:line="480" w:lineRule="exact"/>
        <w:ind w:firstLine="4080" w:firstLineChars="1700"/>
        <w:rPr>
          <w:rFonts w:ascii="宋体" w:hAnsi="宋体"/>
          <w:color w:val="auto"/>
          <w:sz w:val="24"/>
          <w:highlight w:val="none"/>
        </w:rPr>
      </w:pPr>
      <w:r>
        <w:rPr>
          <w:rFonts w:hint="eastAsia" w:ascii="宋体" w:hAnsi="宋体"/>
          <w:color w:val="auto"/>
          <w:sz w:val="24"/>
          <w:highlight w:val="none"/>
        </w:rPr>
        <w:t>日     期：</w:t>
      </w:r>
    </w:p>
    <w:p w14:paraId="34F962B7">
      <w:pPr>
        <w:spacing w:line="480" w:lineRule="exact"/>
        <w:rPr>
          <w:rFonts w:ascii="宋体" w:hAnsi="宋体"/>
          <w:color w:val="auto"/>
          <w:sz w:val="24"/>
          <w:highlight w:val="none"/>
        </w:rPr>
      </w:pPr>
    </w:p>
    <w:p w14:paraId="176BA132">
      <w:pPr>
        <w:pStyle w:val="18"/>
        <w:spacing w:line="360" w:lineRule="auto"/>
        <w:ind w:firstLine="0" w:firstLineChars="0"/>
        <w:jc w:val="center"/>
        <w:rPr>
          <w:rFonts w:hint="eastAsia" w:ascii="宋体" w:hAnsi="宋体" w:eastAsia="宋体"/>
          <w:b/>
          <w:color w:val="auto"/>
          <w:sz w:val="36"/>
          <w:highlight w:val="none"/>
          <w:shd w:val="clear" w:color="auto" w:fill="auto"/>
        </w:rPr>
      </w:pPr>
      <w:r>
        <w:rPr>
          <w:rFonts w:hAnsi="宋体"/>
          <w:b/>
          <w:color w:val="auto"/>
          <w:sz w:val="24"/>
          <w:highlight w:val="none"/>
        </w:rPr>
        <w:br w:type="page"/>
      </w:r>
      <w:bookmarkStart w:id="118" w:name="_Toc459798544"/>
      <w:bookmarkStart w:id="119" w:name="_Toc462990136"/>
      <w:bookmarkStart w:id="120" w:name="_Toc462994806"/>
      <w:bookmarkStart w:id="121" w:name="_Toc462989266"/>
      <w:bookmarkStart w:id="122" w:name="_Toc5426"/>
      <w:bookmarkStart w:id="123" w:name="_Toc467163874"/>
      <w:bookmarkStart w:id="124" w:name="_Toc391403431"/>
      <w:bookmarkStart w:id="125" w:name="_Toc392002114"/>
      <w:r>
        <w:rPr>
          <w:rFonts w:hint="eastAsia" w:ascii="宋体" w:hAnsi="宋体" w:eastAsia="宋体"/>
          <w:b/>
          <w:color w:val="auto"/>
          <w:sz w:val="36"/>
          <w:highlight w:val="none"/>
          <w:shd w:val="clear" w:color="auto" w:fill="auto"/>
        </w:rPr>
        <w:t>4.3投标人财务状况报告、依法缴纳税收和社会保障资金</w:t>
      </w:r>
    </w:p>
    <w:p w14:paraId="294549F6">
      <w:pPr>
        <w:pStyle w:val="18"/>
        <w:spacing w:line="360" w:lineRule="auto"/>
        <w:ind w:firstLine="0" w:firstLineChars="0"/>
        <w:jc w:val="center"/>
        <w:rPr>
          <w:rFonts w:ascii="宋体" w:hAnsi="宋体" w:eastAsia="宋体"/>
          <w:b/>
          <w:color w:val="auto"/>
          <w:sz w:val="36"/>
          <w:highlight w:val="none"/>
        </w:rPr>
      </w:pPr>
      <w:r>
        <w:rPr>
          <w:rFonts w:hint="eastAsia" w:ascii="宋体" w:hAnsi="宋体" w:eastAsia="宋体"/>
          <w:b/>
          <w:color w:val="auto"/>
          <w:sz w:val="36"/>
          <w:highlight w:val="none"/>
          <w:shd w:val="clear" w:color="auto" w:fill="auto"/>
        </w:rPr>
        <w:t>的相关材料</w:t>
      </w:r>
    </w:p>
    <w:p w14:paraId="0B70695F">
      <w:pPr>
        <w:pStyle w:val="18"/>
        <w:ind w:firstLine="361"/>
        <w:rPr>
          <w:rFonts w:ascii="宋体" w:hAnsi="宋体" w:eastAsia="宋体"/>
          <w:b/>
          <w:color w:val="auto"/>
          <w:sz w:val="36"/>
          <w:highlight w:val="none"/>
        </w:rPr>
      </w:pPr>
    </w:p>
    <w:p w14:paraId="4A13585A">
      <w:pPr>
        <w:pStyle w:val="18"/>
        <w:ind w:firstLine="321"/>
        <w:rPr>
          <w:rFonts w:ascii="宋体" w:hAnsi="宋体"/>
          <w:b/>
          <w:color w:val="auto"/>
          <w:sz w:val="32"/>
          <w:szCs w:val="32"/>
          <w:highlight w:val="none"/>
        </w:rPr>
      </w:pPr>
    </w:p>
    <w:p w14:paraId="5801BD6A">
      <w:pPr>
        <w:spacing w:line="480" w:lineRule="exact"/>
        <w:ind w:firstLine="3960" w:firstLineChars="1650"/>
        <w:rPr>
          <w:rFonts w:ascii="宋体" w:hAnsi="宋体"/>
          <w:color w:val="auto"/>
          <w:sz w:val="24"/>
          <w:highlight w:val="none"/>
        </w:rPr>
      </w:pPr>
    </w:p>
    <w:p w14:paraId="3C6FA32D">
      <w:pPr>
        <w:widowControl/>
        <w:spacing w:line="360" w:lineRule="auto"/>
        <w:jc w:val="center"/>
        <w:rPr>
          <w:color w:val="auto"/>
          <w:sz w:val="24"/>
          <w:highlight w:val="none"/>
        </w:rPr>
      </w:pPr>
      <w:r>
        <w:rPr>
          <w:rFonts w:hint="eastAsia" w:ascii="宋体" w:hAnsi="宋体" w:cs="宋体"/>
          <w:color w:val="auto"/>
          <w:sz w:val="24"/>
          <w:highlight w:val="none"/>
        </w:rPr>
        <w:t>按招标文件“资格标准”要求提供</w:t>
      </w:r>
    </w:p>
    <w:p w14:paraId="6D381DD7">
      <w:pPr>
        <w:spacing w:line="480" w:lineRule="exact"/>
        <w:ind w:firstLine="3960" w:firstLineChars="1650"/>
        <w:rPr>
          <w:rFonts w:ascii="宋体" w:hAnsi="宋体"/>
          <w:color w:val="auto"/>
          <w:sz w:val="24"/>
          <w:highlight w:val="none"/>
        </w:rPr>
      </w:pPr>
    </w:p>
    <w:p w14:paraId="093F1298">
      <w:pPr>
        <w:spacing w:line="480" w:lineRule="exact"/>
        <w:ind w:firstLine="3960" w:firstLineChars="1650"/>
        <w:rPr>
          <w:rFonts w:ascii="宋体" w:hAnsi="宋体"/>
          <w:color w:val="auto"/>
          <w:sz w:val="24"/>
          <w:highlight w:val="none"/>
        </w:rPr>
      </w:pPr>
    </w:p>
    <w:p w14:paraId="22456412">
      <w:pPr>
        <w:spacing w:line="480" w:lineRule="exact"/>
        <w:ind w:firstLine="3960" w:firstLineChars="1650"/>
        <w:rPr>
          <w:rFonts w:ascii="宋体" w:hAnsi="宋体"/>
          <w:color w:val="auto"/>
          <w:sz w:val="24"/>
          <w:highlight w:val="none"/>
        </w:rPr>
      </w:pPr>
    </w:p>
    <w:p w14:paraId="0B949C01">
      <w:pPr>
        <w:spacing w:line="480" w:lineRule="exact"/>
        <w:ind w:firstLine="3960" w:firstLineChars="1650"/>
        <w:rPr>
          <w:rFonts w:ascii="宋体" w:hAnsi="宋体"/>
          <w:color w:val="auto"/>
          <w:sz w:val="24"/>
          <w:highlight w:val="none"/>
        </w:rPr>
      </w:pPr>
    </w:p>
    <w:p w14:paraId="6A9E3E02">
      <w:pPr>
        <w:spacing w:line="480" w:lineRule="exact"/>
        <w:ind w:firstLine="3960" w:firstLineChars="1650"/>
        <w:rPr>
          <w:rFonts w:ascii="宋体" w:hAnsi="宋体"/>
          <w:color w:val="auto"/>
          <w:sz w:val="24"/>
          <w:highlight w:val="none"/>
        </w:rPr>
      </w:pPr>
    </w:p>
    <w:p w14:paraId="39024967">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14:paraId="4F8FC407">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14:paraId="2BCA049D">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14:paraId="70C978F8">
      <w:pPr>
        <w:pStyle w:val="18"/>
        <w:ind w:firstLine="300"/>
        <w:rPr>
          <w:color w:val="auto"/>
          <w:highlight w:val="none"/>
        </w:rPr>
      </w:pPr>
    </w:p>
    <w:p w14:paraId="67EC630C">
      <w:pPr>
        <w:pStyle w:val="18"/>
        <w:ind w:firstLine="321"/>
        <w:rPr>
          <w:rFonts w:ascii="宋体" w:hAnsi="宋体"/>
          <w:b/>
          <w:color w:val="auto"/>
          <w:sz w:val="32"/>
          <w:szCs w:val="32"/>
          <w:highlight w:val="none"/>
        </w:rPr>
      </w:pPr>
    </w:p>
    <w:p w14:paraId="739C896F">
      <w:pPr>
        <w:pStyle w:val="18"/>
        <w:ind w:firstLine="321"/>
        <w:rPr>
          <w:rFonts w:ascii="宋体" w:hAnsi="宋体"/>
          <w:b/>
          <w:color w:val="auto"/>
          <w:sz w:val="32"/>
          <w:szCs w:val="32"/>
          <w:highlight w:val="none"/>
        </w:rPr>
      </w:pPr>
    </w:p>
    <w:p w14:paraId="6754EFD8">
      <w:pPr>
        <w:pStyle w:val="18"/>
        <w:ind w:firstLine="321"/>
        <w:rPr>
          <w:rFonts w:ascii="宋体" w:hAnsi="宋体"/>
          <w:b/>
          <w:color w:val="auto"/>
          <w:sz w:val="32"/>
          <w:szCs w:val="32"/>
          <w:highlight w:val="none"/>
        </w:rPr>
      </w:pPr>
    </w:p>
    <w:p w14:paraId="4D67564B">
      <w:pPr>
        <w:pStyle w:val="18"/>
        <w:ind w:firstLine="321"/>
        <w:rPr>
          <w:rFonts w:ascii="宋体" w:hAnsi="宋体"/>
          <w:b/>
          <w:color w:val="auto"/>
          <w:sz w:val="32"/>
          <w:szCs w:val="32"/>
          <w:highlight w:val="none"/>
        </w:rPr>
      </w:pPr>
    </w:p>
    <w:p w14:paraId="450B4D87">
      <w:pPr>
        <w:pStyle w:val="18"/>
        <w:ind w:firstLine="321"/>
        <w:rPr>
          <w:rFonts w:ascii="宋体" w:hAnsi="宋体"/>
          <w:b/>
          <w:color w:val="auto"/>
          <w:sz w:val="32"/>
          <w:szCs w:val="32"/>
          <w:highlight w:val="none"/>
        </w:rPr>
      </w:pPr>
    </w:p>
    <w:p w14:paraId="75B576F8">
      <w:pPr>
        <w:pStyle w:val="35"/>
        <w:jc w:val="center"/>
        <w:outlineLvl w:val="9"/>
        <w:rPr>
          <w:rFonts w:hAnsi="宋体"/>
          <w:b/>
          <w:color w:val="auto"/>
          <w:sz w:val="36"/>
          <w:highlight w:val="none"/>
        </w:rPr>
      </w:pPr>
    </w:p>
    <w:p w14:paraId="693378CD">
      <w:pPr>
        <w:pStyle w:val="35"/>
        <w:jc w:val="center"/>
        <w:outlineLvl w:val="9"/>
        <w:rPr>
          <w:rFonts w:hAnsi="宋体"/>
          <w:b/>
          <w:color w:val="auto"/>
          <w:sz w:val="36"/>
          <w:highlight w:val="none"/>
        </w:rPr>
      </w:pPr>
    </w:p>
    <w:p w14:paraId="1E8DADB0">
      <w:pPr>
        <w:pStyle w:val="35"/>
        <w:jc w:val="center"/>
        <w:outlineLvl w:val="9"/>
        <w:rPr>
          <w:rFonts w:hAnsi="宋体"/>
          <w:b/>
          <w:color w:val="auto"/>
          <w:sz w:val="36"/>
          <w:highlight w:val="none"/>
        </w:rPr>
      </w:pPr>
    </w:p>
    <w:p w14:paraId="1DA1CE5E">
      <w:pPr>
        <w:pStyle w:val="35"/>
        <w:jc w:val="center"/>
        <w:outlineLvl w:val="9"/>
        <w:rPr>
          <w:rFonts w:hAnsi="宋体"/>
          <w:b/>
          <w:color w:val="auto"/>
          <w:sz w:val="36"/>
          <w:highlight w:val="none"/>
        </w:rPr>
      </w:pPr>
    </w:p>
    <w:p w14:paraId="6D021595">
      <w:pPr>
        <w:pStyle w:val="35"/>
        <w:jc w:val="center"/>
        <w:outlineLvl w:val="9"/>
        <w:rPr>
          <w:rFonts w:hAnsi="宋体"/>
          <w:b/>
          <w:color w:val="auto"/>
          <w:sz w:val="36"/>
          <w:highlight w:val="none"/>
        </w:rPr>
      </w:pPr>
    </w:p>
    <w:p w14:paraId="3D763716">
      <w:pPr>
        <w:pStyle w:val="35"/>
        <w:jc w:val="center"/>
        <w:outlineLvl w:val="9"/>
        <w:rPr>
          <w:rFonts w:hAnsi="宋体"/>
          <w:b/>
          <w:color w:val="auto"/>
          <w:sz w:val="36"/>
          <w:highlight w:val="none"/>
        </w:rPr>
      </w:pPr>
    </w:p>
    <w:p w14:paraId="3EF82FCD">
      <w:pPr>
        <w:pStyle w:val="35"/>
        <w:jc w:val="center"/>
        <w:outlineLvl w:val="9"/>
        <w:rPr>
          <w:rFonts w:hAnsi="宋体"/>
          <w:b/>
          <w:color w:val="auto"/>
          <w:sz w:val="36"/>
          <w:highlight w:val="none"/>
        </w:rPr>
      </w:pPr>
    </w:p>
    <w:p w14:paraId="1E119384">
      <w:pPr>
        <w:pStyle w:val="35"/>
        <w:jc w:val="center"/>
        <w:outlineLvl w:val="9"/>
        <w:rPr>
          <w:rFonts w:hAnsi="宋体"/>
          <w:b/>
          <w:color w:val="auto"/>
          <w:sz w:val="36"/>
          <w:highlight w:val="none"/>
        </w:rPr>
      </w:pPr>
    </w:p>
    <w:p w14:paraId="6C28AA65">
      <w:pPr>
        <w:pStyle w:val="35"/>
        <w:jc w:val="center"/>
        <w:outlineLvl w:val="9"/>
        <w:rPr>
          <w:rFonts w:hAnsi="宋体"/>
          <w:b/>
          <w:color w:val="auto"/>
          <w:sz w:val="36"/>
          <w:highlight w:val="none"/>
        </w:rPr>
      </w:pPr>
    </w:p>
    <w:p w14:paraId="198BB283">
      <w:pPr>
        <w:pStyle w:val="35"/>
        <w:jc w:val="center"/>
        <w:outlineLvl w:val="9"/>
        <w:rPr>
          <w:rFonts w:hAnsi="宋体"/>
          <w:b/>
          <w:color w:val="auto"/>
          <w:sz w:val="36"/>
          <w:highlight w:val="none"/>
        </w:rPr>
      </w:pPr>
    </w:p>
    <w:p w14:paraId="50CC72AB">
      <w:pPr>
        <w:pStyle w:val="35"/>
        <w:jc w:val="center"/>
        <w:outlineLvl w:val="9"/>
        <w:rPr>
          <w:rFonts w:hAnsi="宋体"/>
          <w:b/>
          <w:color w:val="auto"/>
          <w:sz w:val="36"/>
          <w:highlight w:val="none"/>
        </w:rPr>
      </w:pPr>
    </w:p>
    <w:p w14:paraId="2BC73F9C">
      <w:pPr>
        <w:pStyle w:val="35"/>
        <w:jc w:val="center"/>
        <w:outlineLvl w:val="9"/>
        <w:rPr>
          <w:rFonts w:hAnsi="宋体"/>
          <w:b/>
          <w:color w:val="auto"/>
          <w:sz w:val="36"/>
          <w:highlight w:val="none"/>
        </w:rPr>
      </w:pPr>
      <w:r>
        <w:rPr>
          <w:rFonts w:hint="eastAsia" w:hAnsi="宋体"/>
          <w:b/>
          <w:color w:val="auto"/>
          <w:sz w:val="36"/>
          <w:highlight w:val="none"/>
        </w:rPr>
        <w:t>4.4声明函及承诺函</w:t>
      </w:r>
    </w:p>
    <w:p w14:paraId="0AD0F29A">
      <w:pPr>
        <w:pStyle w:val="35"/>
        <w:jc w:val="center"/>
        <w:outlineLvl w:val="9"/>
        <w:rPr>
          <w:rFonts w:hAnsi="宋体"/>
          <w:b/>
          <w:color w:val="auto"/>
          <w:sz w:val="36"/>
          <w:highlight w:val="none"/>
        </w:rPr>
      </w:pPr>
    </w:p>
    <w:p w14:paraId="23F2C1A1">
      <w:pPr>
        <w:pStyle w:val="35"/>
        <w:jc w:val="center"/>
        <w:outlineLvl w:val="9"/>
        <w:rPr>
          <w:rFonts w:hAnsi="宋体"/>
          <w:b/>
          <w:color w:val="auto"/>
          <w:sz w:val="36"/>
          <w:highlight w:val="none"/>
        </w:rPr>
      </w:pPr>
      <w:r>
        <w:rPr>
          <w:rFonts w:hint="eastAsia" w:hAnsi="宋体"/>
          <w:b/>
          <w:color w:val="auto"/>
          <w:sz w:val="36"/>
          <w:highlight w:val="none"/>
        </w:rPr>
        <w:t>4.4.1声明函</w:t>
      </w:r>
    </w:p>
    <w:p w14:paraId="2ADA16D4">
      <w:pPr>
        <w:pStyle w:val="18"/>
        <w:ind w:firstLine="321"/>
        <w:rPr>
          <w:rFonts w:ascii="宋体" w:hAnsi="宋体"/>
          <w:b/>
          <w:color w:val="auto"/>
          <w:sz w:val="32"/>
          <w:szCs w:val="32"/>
          <w:highlight w:val="none"/>
        </w:rPr>
      </w:pPr>
    </w:p>
    <w:p w14:paraId="4985DB6C">
      <w:pPr>
        <w:pStyle w:val="18"/>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福建宏达机械有限公司</w:t>
      </w:r>
      <w:r>
        <w:rPr>
          <w:rFonts w:hint="eastAsia" w:ascii="宋体" w:hAnsi="宋体" w:eastAsia="宋体" w:cs="宋体"/>
          <w:b/>
          <w:color w:val="auto"/>
          <w:sz w:val="24"/>
          <w:highlight w:val="none"/>
          <w:shd w:val="clear" w:color="auto" w:fill="auto"/>
        </w:rPr>
        <w:t>、福建省宏瑞招标代理有限公司：</w:t>
      </w:r>
    </w:p>
    <w:p w14:paraId="5C7B2652">
      <w:pPr>
        <w:pStyle w:val="18"/>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我公司声明如下：</w:t>
      </w:r>
    </w:p>
    <w:p w14:paraId="11E90631">
      <w:pPr>
        <w:pStyle w:val="18"/>
        <w:spacing w:line="360" w:lineRule="auto"/>
        <w:ind w:firstLine="480" w:firstLineChars="20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1.我公司参加本项目招标活动前三年内在经营活动中没有重大违法记录。</w:t>
      </w:r>
    </w:p>
    <w:p w14:paraId="614CAB97">
      <w:pPr>
        <w:pStyle w:val="18"/>
        <w:spacing w:line="360" w:lineRule="auto"/>
        <w:ind w:firstLine="480" w:firstLineChars="200"/>
        <w:rPr>
          <w:rFonts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2.我公司具备履行本项目所必需的设备及专业技术能力。</w:t>
      </w:r>
    </w:p>
    <w:p w14:paraId="5C92BC3F">
      <w:pPr>
        <w:pStyle w:val="18"/>
        <w:spacing w:line="360" w:lineRule="auto"/>
        <w:ind w:firstLine="0" w:firstLineChars="0"/>
        <w:rPr>
          <w:rFonts w:ascii="宋体" w:hAnsi="宋体" w:eastAsia="宋体" w:cs="宋体"/>
          <w:color w:val="auto"/>
          <w:sz w:val="24"/>
          <w:highlight w:val="none"/>
          <w:shd w:val="clear" w:color="auto" w:fill="auto"/>
        </w:rPr>
      </w:pPr>
    </w:p>
    <w:p w14:paraId="5E6F6ECD">
      <w:pPr>
        <w:pStyle w:val="18"/>
        <w:ind w:left="210" w:leftChars="100" w:firstLine="0" w:firstLineChars="0"/>
        <w:rPr>
          <w:rFonts w:ascii="宋体" w:hAnsi="宋体" w:eastAsia="宋体" w:cs="宋体"/>
          <w:color w:val="auto"/>
          <w:sz w:val="24"/>
          <w:highlight w:val="none"/>
        </w:rPr>
      </w:pPr>
    </w:p>
    <w:p w14:paraId="0338E0B1">
      <w:pPr>
        <w:pStyle w:val="18"/>
        <w:ind w:firstLine="321"/>
        <w:rPr>
          <w:rFonts w:ascii="宋体" w:hAnsi="宋体"/>
          <w:b/>
          <w:color w:val="auto"/>
          <w:sz w:val="32"/>
          <w:szCs w:val="32"/>
          <w:highlight w:val="none"/>
        </w:rPr>
      </w:pPr>
    </w:p>
    <w:p w14:paraId="2CB27CC6">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14:paraId="793BD2E3">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14:paraId="3D09BD0E">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14:paraId="5DC123C5">
      <w:pPr>
        <w:spacing w:line="440" w:lineRule="exact"/>
        <w:ind w:firstLine="321" w:firstLineChars="100"/>
        <w:jc w:val="center"/>
        <w:rPr>
          <w:rFonts w:ascii="宋体" w:hAnsi="宋体"/>
          <w:b/>
          <w:color w:val="auto"/>
          <w:sz w:val="32"/>
          <w:szCs w:val="32"/>
          <w:highlight w:val="none"/>
        </w:rPr>
      </w:pPr>
    </w:p>
    <w:p w14:paraId="4FAB566B">
      <w:pPr>
        <w:spacing w:line="440" w:lineRule="exact"/>
        <w:ind w:firstLine="321" w:firstLineChars="100"/>
        <w:jc w:val="center"/>
        <w:rPr>
          <w:rFonts w:ascii="宋体" w:hAnsi="宋体"/>
          <w:b/>
          <w:color w:val="auto"/>
          <w:sz w:val="32"/>
          <w:szCs w:val="32"/>
          <w:highlight w:val="none"/>
        </w:rPr>
      </w:pPr>
    </w:p>
    <w:p w14:paraId="62DFD3C7">
      <w:pPr>
        <w:spacing w:line="440" w:lineRule="exact"/>
        <w:ind w:firstLine="321" w:firstLineChars="100"/>
        <w:jc w:val="center"/>
        <w:rPr>
          <w:rFonts w:ascii="宋体" w:hAnsi="宋体"/>
          <w:b/>
          <w:color w:val="auto"/>
          <w:sz w:val="32"/>
          <w:szCs w:val="32"/>
          <w:highlight w:val="none"/>
        </w:rPr>
      </w:pPr>
    </w:p>
    <w:p w14:paraId="0DA19979">
      <w:pPr>
        <w:pStyle w:val="36"/>
        <w:rPr>
          <w:rFonts w:ascii="宋体" w:hAnsi="宋体"/>
          <w:b/>
          <w:color w:val="auto"/>
          <w:sz w:val="32"/>
          <w:szCs w:val="32"/>
          <w:highlight w:val="none"/>
        </w:rPr>
      </w:pPr>
    </w:p>
    <w:p w14:paraId="0057CE2C">
      <w:pPr>
        <w:jc w:val="center"/>
        <w:rPr>
          <w:rFonts w:ascii="宋体" w:hAnsi="宋体"/>
          <w:b/>
          <w:bCs/>
          <w:color w:val="auto"/>
          <w:sz w:val="30"/>
          <w:szCs w:val="30"/>
          <w:highlight w:val="none"/>
        </w:rPr>
      </w:pPr>
    </w:p>
    <w:p w14:paraId="1D675E22">
      <w:pPr>
        <w:jc w:val="center"/>
        <w:rPr>
          <w:rFonts w:ascii="宋体" w:hAnsi="宋体"/>
          <w:b/>
          <w:bCs/>
          <w:color w:val="auto"/>
          <w:sz w:val="30"/>
          <w:szCs w:val="30"/>
          <w:highlight w:val="none"/>
        </w:rPr>
      </w:pPr>
    </w:p>
    <w:p w14:paraId="07A90D6D">
      <w:pPr>
        <w:jc w:val="center"/>
        <w:rPr>
          <w:rFonts w:ascii="宋体" w:hAnsi="宋体"/>
          <w:b/>
          <w:bCs/>
          <w:color w:val="auto"/>
          <w:sz w:val="30"/>
          <w:szCs w:val="30"/>
          <w:highlight w:val="none"/>
        </w:rPr>
      </w:pPr>
    </w:p>
    <w:p w14:paraId="274271B4">
      <w:pPr>
        <w:jc w:val="center"/>
        <w:rPr>
          <w:rFonts w:ascii="宋体" w:hAnsi="宋体"/>
          <w:b/>
          <w:bCs/>
          <w:color w:val="auto"/>
          <w:sz w:val="30"/>
          <w:szCs w:val="30"/>
          <w:highlight w:val="none"/>
        </w:rPr>
      </w:pPr>
    </w:p>
    <w:p w14:paraId="2BB7CCF2">
      <w:pPr>
        <w:jc w:val="center"/>
        <w:rPr>
          <w:rFonts w:ascii="宋体" w:hAnsi="宋体"/>
          <w:b/>
          <w:bCs/>
          <w:color w:val="auto"/>
          <w:sz w:val="30"/>
          <w:szCs w:val="30"/>
          <w:highlight w:val="none"/>
        </w:rPr>
      </w:pPr>
    </w:p>
    <w:p w14:paraId="154F9DFF">
      <w:pPr>
        <w:jc w:val="center"/>
        <w:rPr>
          <w:rFonts w:ascii="宋体" w:hAnsi="宋体"/>
          <w:b/>
          <w:bCs/>
          <w:color w:val="auto"/>
          <w:sz w:val="30"/>
          <w:szCs w:val="30"/>
          <w:highlight w:val="none"/>
        </w:rPr>
      </w:pPr>
    </w:p>
    <w:p w14:paraId="157BF7AC">
      <w:pPr>
        <w:jc w:val="center"/>
        <w:rPr>
          <w:rFonts w:ascii="宋体" w:hAnsi="宋体"/>
          <w:b/>
          <w:bCs/>
          <w:color w:val="auto"/>
          <w:sz w:val="30"/>
          <w:szCs w:val="30"/>
          <w:highlight w:val="none"/>
        </w:rPr>
      </w:pPr>
    </w:p>
    <w:p w14:paraId="222B1100">
      <w:pPr>
        <w:jc w:val="center"/>
        <w:rPr>
          <w:rFonts w:ascii="宋体" w:hAnsi="宋体"/>
          <w:b/>
          <w:bCs/>
          <w:color w:val="auto"/>
          <w:sz w:val="30"/>
          <w:szCs w:val="30"/>
          <w:highlight w:val="none"/>
        </w:rPr>
      </w:pPr>
    </w:p>
    <w:p w14:paraId="5C90608A">
      <w:pPr>
        <w:jc w:val="center"/>
        <w:rPr>
          <w:rFonts w:ascii="宋体" w:hAnsi="宋体"/>
          <w:b/>
          <w:bCs/>
          <w:color w:val="auto"/>
          <w:sz w:val="30"/>
          <w:szCs w:val="30"/>
          <w:highlight w:val="none"/>
        </w:rPr>
      </w:pPr>
    </w:p>
    <w:p w14:paraId="397B3656">
      <w:pPr>
        <w:jc w:val="center"/>
        <w:rPr>
          <w:rFonts w:ascii="宋体" w:hAnsi="宋体"/>
          <w:b/>
          <w:bCs/>
          <w:color w:val="auto"/>
          <w:sz w:val="30"/>
          <w:szCs w:val="30"/>
          <w:highlight w:val="none"/>
        </w:rPr>
      </w:pPr>
    </w:p>
    <w:p w14:paraId="089D4B0C">
      <w:pPr>
        <w:jc w:val="center"/>
        <w:rPr>
          <w:rFonts w:ascii="宋体" w:hAnsi="宋体"/>
          <w:b/>
          <w:bCs/>
          <w:color w:val="auto"/>
          <w:sz w:val="30"/>
          <w:szCs w:val="30"/>
          <w:highlight w:val="none"/>
        </w:rPr>
      </w:pPr>
    </w:p>
    <w:p w14:paraId="7237EA61">
      <w:pPr>
        <w:pStyle w:val="18"/>
        <w:ind w:firstLine="301"/>
        <w:rPr>
          <w:rFonts w:ascii="宋体" w:hAnsi="宋体"/>
          <w:b/>
          <w:bCs/>
          <w:color w:val="auto"/>
          <w:szCs w:val="30"/>
          <w:highlight w:val="none"/>
        </w:rPr>
      </w:pPr>
    </w:p>
    <w:p w14:paraId="0C792EDB">
      <w:pPr>
        <w:pStyle w:val="19"/>
        <w:ind w:firstLine="602"/>
        <w:rPr>
          <w:b/>
          <w:bCs/>
          <w:color w:val="auto"/>
          <w:sz w:val="30"/>
          <w:szCs w:val="30"/>
          <w:highlight w:val="none"/>
        </w:rPr>
      </w:pPr>
    </w:p>
    <w:p w14:paraId="663E93AD">
      <w:pPr>
        <w:pStyle w:val="19"/>
        <w:ind w:firstLine="602"/>
        <w:rPr>
          <w:b/>
          <w:bCs/>
          <w:color w:val="auto"/>
          <w:sz w:val="30"/>
          <w:szCs w:val="30"/>
          <w:highlight w:val="none"/>
        </w:rPr>
      </w:pPr>
    </w:p>
    <w:p w14:paraId="1C1FC9C2">
      <w:pPr>
        <w:jc w:val="center"/>
        <w:rPr>
          <w:rFonts w:ascii="宋体" w:hAnsi="宋体"/>
          <w:b/>
          <w:bCs/>
          <w:color w:val="auto"/>
          <w:sz w:val="30"/>
          <w:szCs w:val="30"/>
          <w:highlight w:val="none"/>
        </w:rPr>
      </w:pPr>
    </w:p>
    <w:p w14:paraId="183F5D29">
      <w:pPr>
        <w:pStyle w:val="18"/>
        <w:spacing w:line="360" w:lineRule="auto"/>
        <w:ind w:firstLine="301"/>
        <w:jc w:val="center"/>
        <w:rPr>
          <w:rFonts w:ascii="宋体" w:hAnsi="宋体" w:eastAsia="宋体" w:cs="宋体"/>
          <w:b/>
          <w:bCs/>
          <w:color w:val="auto"/>
          <w:szCs w:val="30"/>
          <w:highlight w:val="none"/>
          <w:shd w:val="clear" w:color="auto" w:fill="auto"/>
        </w:rPr>
      </w:pPr>
      <w:r>
        <w:rPr>
          <w:rFonts w:hint="eastAsia" w:ascii="宋体" w:hAnsi="宋体" w:eastAsia="宋体" w:cs="宋体"/>
          <w:b/>
          <w:bCs/>
          <w:color w:val="auto"/>
          <w:szCs w:val="30"/>
          <w:highlight w:val="none"/>
          <w:shd w:val="clear" w:color="auto" w:fill="auto"/>
        </w:rPr>
        <w:t>4.4.2承诺函</w:t>
      </w:r>
    </w:p>
    <w:p w14:paraId="10C82E19">
      <w:pPr>
        <w:pStyle w:val="18"/>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致</w:t>
      </w:r>
      <w:r>
        <w:rPr>
          <w:rFonts w:hint="eastAsia" w:ascii="宋体" w:hAnsi="宋体" w:eastAsia="宋体" w:cs="宋体"/>
          <w:b/>
          <w:color w:val="auto"/>
          <w:sz w:val="24"/>
          <w:highlight w:val="none"/>
          <w:shd w:val="clear" w:color="auto" w:fill="auto"/>
          <w:lang w:eastAsia="zh-CN"/>
        </w:rPr>
        <w:t>福建宏达机械有限公司</w:t>
      </w:r>
      <w:r>
        <w:rPr>
          <w:rFonts w:hint="eastAsia" w:ascii="宋体" w:hAnsi="宋体" w:eastAsia="宋体" w:cs="宋体"/>
          <w:b/>
          <w:color w:val="auto"/>
          <w:sz w:val="24"/>
          <w:highlight w:val="none"/>
          <w:shd w:val="clear" w:color="auto" w:fill="auto"/>
        </w:rPr>
        <w:t>、福建省宏瑞招标代理有限公司：</w:t>
      </w:r>
    </w:p>
    <w:p w14:paraId="5C1470C3">
      <w:pPr>
        <w:pStyle w:val="18"/>
        <w:spacing w:line="360" w:lineRule="auto"/>
        <w:ind w:firstLine="241"/>
        <w:rPr>
          <w:rFonts w:ascii="宋体" w:hAnsi="宋体" w:eastAsia="宋体" w:cs="宋体"/>
          <w:b/>
          <w:color w:val="auto"/>
          <w:sz w:val="24"/>
          <w:highlight w:val="none"/>
          <w:shd w:val="clear" w:color="auto" w:fill="auto"/>
        </w:rPr>
      </w:pPr>
      <w:r>
        <w:rPr>
          <w:rFonts w:hint="eastAsia" w:ascii="宋体" w:hAnsi="宋体" w:eastAsia="宋体" w:cs="宋体"/>
          <w:b/>
          <w:color w:val="auto"/>
          <w:sz w:val="24"/>
          <w:highlight w:val="none"/>
          <w:shd w:val="clear" w:color="auto" w:fill="auto"/>
        </w:rPr>
        <w:t>我公司承诺如下：</w:t>
      </w:r>
    </w:p>
    <w:p w14:paraId="32967F2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1、我公司承诺</w:t>
      </w:r>
      <w:r>
        <w:rPr>
          <w:rFonts w:hint="eastAsia" w:ascii="宋体" w:hAnsi="宋体"/>
          <w:color w:val="auto"/>
          <w:sz w:val="24"/>
          <w:highlight w:val="none"/>
          <w:lang w:eastAsia="zh-CN"/>
        </w:rPr>
        <w:t>投标截止</w:t>
      </w:r>
      <w:r>
        <w:rPr>
          <w:rFonts w:hint="eastAsia" w:ascii="宋体" w:hAnsi="宋体"/>
          <w:color w:val="auto"/>
          <w:sz w:val="24"/>
          <w:highlight w:val="none"/>
        </w:rPr>
        <w:t>时间当日未在景弘集团有限公司</w:t>
      </w:r>
      <w:r>
        <w:rPr>
          <w:rFonts w:hint="eastAsia" w:ascii="宋体" w:hAnsi="宋体"/>
          <w:color w:val="auto"/>
          <w:sz w:val="24"/>
          <w:highlight w:val="none"/>
          <w:lang w:val="en-US" w:eastAsia="zh-CN"/>
        </w:rPr>
        <w:t>和福建宏达机械有限公司</w:t>
      </w:r>
      <w:r>
        <w:rPr>
          <w:rFonts w:hint="eastAsia" w:ascii="宋体" w:hAnsi="宋体"/>
          <w:color w:val="auto"/>
          <w:sz w:val="24"/>
          <w:highlight w:val="none"/>
          <w:lang w:eastAsia="zh-CN"/>
        </w:rPr>
        <w:t>不良行为记录名单</w:t>
      </w:r>
      <w:r>
        <w:rPr>
          <w:rFonts w:hint="eastAsia" w:ascii="宋体" w:hAnsi="宋体"/>
          <w:color w:val="auto"/>
          <w:sz w:val="24"/>
          <w:highlight w:val="none"/>
        </w:rPr>
        <w:t>内。</w:t>
      </w:r>
    </w:p>
    <w:p w14:paraId="1E7D945D">
      <w:pPr>
        <w:spacing w:line="360" w:lineRule="auto"/>
        <w:jc w:val="center"/>
        <w:rPr>
          <w:rFonts w:ascii="宋体" w:hAnsi="宋体" w:cs="宋体"/>
          <w:color w:val="auto"/>
          <w:sz w:val="24"/>
          <w:highlight w:val="none"/>
        </w:rPr>
      </w:pPr>
    </w:p>
    <w:p w14:paraId="63514810">
      <w:pPr>
        <w:pStyle w:val="18"/>
        <w:spacing w:line="360" w:lineRule="auto"/>
        <w:ind w:firstLine="0" w:firstLineChars="0"/>
        <w:rPr>
          <w:rFonts w:ascii="宋体" w:hAnsi="宋体" w:eastAsia="宋体" w:cs="宋体"/>
          <w:color w:val="auto"/>
          <w:sz w:val="24"/>
          <w:highlight w:val="none"/>
          <w:shd w:val="clear" w:color="auto" w:fill="auto"/>
        </w:rPr>
      </w:pPr>
    </w:p>
    <w:p w14:paraId="65DCFD76">
      <w:pPr>
        <w:pStyle w:val="18"/>
        <w:ind w:left="210" w:leftChars="100" w:firstLine="0" w:firstLineChars="0"/>
        <w:rPr>
          <w:rFonts w:ascii="宋体" w:hAnsi="宋体" w:eastAsia="宋体" w:cs="宋体"/>
          <w:color w:val="auto"/>
          <w:sz w:val="24"/>
          <w:highlight w:val="none"/>
        </w:rPr>
      </w:pPr>
    </w:p>
    <w:p w14:paraId="43C4D452">
      <w:pPr>
        <w:pStyle w:val="18"/>
        <w:ind w:firstLine="321"/>
        <w:rPr>
          <w:rFonts w:ascii="宋体" w:hAnsi="宋体"/>
          <w:b/>
          <w:color w:val="auto"/>
          <w:sz w:val="32"/>
          <w:szCs w:val="32"/>
          <w:highlight w:val="none"/>
        </w:rPr>
      </w:pPr>
    </w:p>
    <w:p w14:paraId="50FB3AB1">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投标人（全称并加盖公章）：</w:t>
      </w:r>
    </w:p>
    <w:p w14:paraId="47AAE3CE">
      <w:pPr>
        <w:spacing w:line="480" w:lineRule="exact"/>
        <w:ind w:firstLine="3960" w:firstLineChars="1650"/>
        <w:rPr>
          <w:rFonts w:ascii="宋体" w:hAnsi="宋体"/>
          <w:color w:val="auto"/>
          <w:sz w:val="24"/>
          <w:highlight w:val="none"/>
        </w:rPr>
      </w:pPr>
      <w:r>
        <w:rPr>
          <w:rFonts w:hint="eastAsia" w:ascii="宋体" w:hAnsi="宋体"/>
          <w:color w:val="auto"/>
          <w:sz w:val="24"/>
          <w:highlight w:val="none"/>
        </w:rPr>
        <w:t>投标人代表签名：</w:t>
      </w:r>
    </w:p>
    <w:p w14:paraId="4D42027C">
      <w:pPr>
        <w:spacing w:line="480" w:lineRule="exact"/>
        <w:ind w:firstLine="3960" w:firstLineChars="1650"/>
        <w:rPr>
          <w:rFonts w:ascii="宋体" w:hAnsi="宋体"/>
          <w:color w:val="auto"/>
          <w:sz w:val="24"/>
          <w:highlight w:val="none"/>
          <w:u w:val="single"/>
        </w:rPr>
      </w:pPr>
      <w:r>
        <w:rPr>
          <w:rFonts w:hint="eastAsia" w:ascii="宋体" w:hAnsi="宋体"/>
          <w:color w:val="auto"/>
          <w:sz w:val="24"/>
          <w:highlight w:val="none"/>
        </w:rPr>
        <w:t>日     期：</w:t>
      </w:r>
    </w:p>
    <w:p w14:paraId="424AA611">
      <w:pPr>
        <w:spacing w:line="360" w:lineRule="auto"/>
        <w:jc w:val="center"/>
        <w:rPr>
          <w:rFonts w:ascii="宋体" w:hAnsi="宋体" w:cs="宋体"/>
          <w:color w:val="auto"/>
          <w:sz w:val="24"/>
          <w:highlight w:val="none"/>
        </w:rPr>
      </w:pPr>
    </w:p>
    <w:p w14:paraId="53298753">
      <w:pPr>
        <w:spacing w:line="360" w:lineRule="auto"/>
        <w:jc w:val="center"/>
        <w:rPr>
          <w:rFonts w:ascii="宋体" w:hAnsi="宋体" w:cs="宋体"/>
          <w:color w:val="auto"/>
          <w:sz w:val="24"/>
          <w:highlight w:val="none"/>
        </w:rPr>
      </w:pPr>
    </w:p>
    <w:p w14:paraId="0B3259CC">
      <w:pPr>
        <w:spacing w:line="360" w:lineRule="auto"/>
        <w:jc w:val="center"/>
        <w:rPr>
          <w:rFonts w:ascii="宋体" w:hAnsi="宋体" w:cs="宋体"/>
          <w:color w:val="auto"/>
          <w:sz w:val="24"/>
          <w:highlight w:val="none"/>
        </w:rPr>
      </w:pPr>
    </w:p>
    <w:p w14:paraId="37D0B040">
      <w:pPr>
        <w:spacing w:line="360" w:lineRule="auto"/>
        <w:jc w:val="center"/>
        <w:rPr>
          <w:rFonts w:ascii="宋体" w:hAnsi="宋体" w:cs="宋体"/>
          <w:color w:val="auto"/>
          <w:sz w:val="24"/>
          <w:highlight w:val="none"/>
        </w:rPr>
      </w:pPr>
    </w:p>
    <w:p w14:paraId="37FE868E">
      <w:pPr>
        <w:spacing w:line="360" w:lineRule="auto"/>
        <w:jc w:val="center"/>
        <w:rPr>
          <w:rFonts w:ascii="宋体" w:hAnsi="宋体" w:cs="宋体"/>
          <w:color w:val="auto"/>
          <w:sz w:val="24"/>
          <w:highlight w:val="none"/>
        </w:rPr>
      </w:pPr>
    </w:p>
    <w:p w14:paraId="5A49724C">
      <w:pPr>
        <w:spacing w:line="360" w:lineRule="auto"/>
        <w:jc w:val="center"/>
        <w:rPr>
          <w:rFonts w:ascii="宋体" w:hAnsi="宋体" w:cs="宋体"/>
          <w:color w:val="auto"/>
          <w:sz w:val="24"/>
          <w:highlight w:val="none"/>
        </w:rPr>
      </w:pPr>
    </w:p>
    <w:p w14:paraId="05B8266A">
      <w:pPr>
        <w:spacing w:line="360" w:lineRule="auto"/>
        <w:jc w:val="center"/>
        <w:rPr>
          <w:rFonts w:ascii="宋体" w:hAnsi="宋体" w:cs="宋体"/>
          <w:color w:val="auto"/>
          <w:sz w:val="24"/>
          <w:highlight w:val="none"/>
        </w:rPr>
      </w:pPr>
    </w:p>
    <w:p w14:paraId="5D572555">
      <w:pPr>
        <w:spacing w:line="360" w:lineRule="auto"/>
        <w:jc w:val="center"/>
        <w:rPr>
          <w:rFonts w:ascii="宋体" w:hAnsi="宋体" w:cs="宋体"/>
          <w:color w:val="auto"/>
          <w:sz w:val="24"/>
          <w:highlight w:val="none"/>
        </w:rPr>
      </w:pPr>
    </w:p>
    <w:p w14:paraId="30FE2A4F">
      <w:pPr>
        <w:spacing w:line="360" w:lineRule="auto"/>
        <w:jc w:val="center"/>
        <w:rPr>
          <w:rFonts w:ascii="宋体" w:hAnsi="宋体" w:cs="宋体"/>
          <w:color w:val="auto"/>
          <w:sz w:val="24"/>
          <w:highlight w:val="none"/>
        </w:rPr>
      </w:pPr>
    </w:p>
    <w:p w14:paraId="08EC127F">
      <w:pPr>
        <w:spacing w:line="360" w:lineRule="auto"/>
        <w:jc w:val="center"/>
        <w:rPr>
          <w:rFonts w:ascii="宋体" w:hAnsi="宋体" w:cs="宋体"/>
          <w:color w:val="auto"/>
          <w:sz w:val="24"/>
          <w:highlight w:val="none"/>
        </w:rPr>
      </w:pPr>
    </w:p>
    <w:p w14:paraId="03D05E22">
      <w:pPr>
        <w:spacing w:line="360" w:lineRule="auto"/>
        <w:jc w:val="center"/>
        <w:rPr>
          <w:rFonts w:ascii="宋体" w:hAnsi="宋体" w:cs="宋体"/>
          <w:color w:val="auto"/>
          <w:sz w:val="24"/>
          <w:highlight w:val="none"/>
        </w:rPr>
      </w:pPr>
    </w:p>
    <w:p w14:paraId="0074A2AA">
      <w:pPr>
        <w:spacing w:line="360" w:lineRule="auto"/>
        <w:jc w:val="center"/>
        <w:rPr>
          <w:rFonts w:ascii="宋体" w:hAnsi="宋体" w:cs="宋体"/>
          <w:color w:val="auto"/>
          <w:sz w:val="24"/>
          <w:highlight w:val="none"/>
        </w:rPr>
      </w:pPr>
    </w:p>
    <w:p w14:paraId="7CB70C48">
      <w:pPr>
        <w:spacing w:line="360" w:lineRule="auto"/>
        <w:jc w:val="center"/>
        <w:rPr>
          <w:rFonts w:ascii="宋体" w:hAnsi="宋体" w:cs="宋体"/>
          <w:color w:val="auto"/>
          <w:sz w:val="24"/>
          <w:highlight w:val="none"/>
        </w:rPr>
      </w:pPr>
    </w:p>
    <w:p w14:paraId="297B3AAC">
      <w:pPr>
        <w:spacing w:line="360" w:lineRule="auto"/>
        <w:jc w:val="center"/>
        <w:rPr>
          <w:rFonts w:ascii="宋体" w:hAnsi="宋体" w:cs="宋体"/>
          <w:color w:val="auto"/>
          <w:sz w:val="24"/>
          <w:highlight w:val="none"/>
        </w:rPr>
      </w:pPr>
    </w:p>
    <w:p w14:paraId="00A70D76">
      <w:pPr>
        <w:spacing w:line="360" w:lineRule="auto"/>
        <w:jc w:val="center"/>
        <w:rPr>
          <w:rFonts w:ascii="宋体" w:hAnsi="宋体" w:cs="宋体"/>
          <w:color w:val="auto"/>
          <w:sz w:val="24"/>
          <w:highlight w:val="none"/>
        </w:rPr>
      </w:pPr>
    </w:p>
    <w:p w14:paraId="4F0ACB0A">
      <w:pPr>
        <w:spacing w:line="360" w:lineRule="auto"/>
        <w:jc w:val="center"/>
        <w:rPr>
          <w:rFonts w:ascii="宋体" w:hAnsi="宋体" w:cs="宋体"/>
          <w:color w:val="auto"/>
          <w:sz w:val="24"/>
          <w:highlight w:val="none"/>
        </w:rPr>
      </w:pPr>
    </w:p>
    <w:p w14:paraId="1E764125">
      <w:pPr>
        <w:spacing w:line="360" w:lineRule="auto"/>
        <w:jc w:val="center"/>
        <w:rPr>
          <w:rFonts w:ascii="宋体" w:hAnsi="宋体" w:cs="宋体"/>
          <w:color w:val="auto"/>
          <w:sz w:val="24"/>
          <w:highlight w:val="none"/>
        </w:rPr>
      </w:pPr>
    </w:p>
    <w:p w14:paraId="62D770C3">
      <w:pPr>
        <w:spacing w:line="360" w:lineRule="auto"/>
        <w:jc w:val="center"/>
        <w:rPr>
          <w:rFonts w:ascii="宋体" w:hAnsi="宋体" w:cs="宋体"/>
          <w:color w:val="auto"/>
          <w:sz w:val="24"/>
          <w:highlight w:val="none"/>
        </w:rPr>
      </w:pPr>
    </w:p>
    <w:p w14:paraId="2BE099BE">
      <w:pPr>
        <w:spacing w:line="360" w:lineRule="auto"/>
        <w:jc w:val="center"/>
        <w:rPr>
          <w:rFonts w:ascii="宋体" w:hAnsi="宋体" w:cs="宋体"/>
          <w:color w:val="auto"/>
          <w:sz w:val="24"/>
          <w:highlight w:val="none"/>
        </w:rPr>
      </w:pPr>
    </w:p>
    <w:p w14:paraId="6C1E7B57">
      <w:pPr>
        <w:spacing w:line="360" w:lineRule="auto"/>
        <w:jc w:val="center"/>
        <w:rPr>
          <w:rFonts w:ascii="宋体" w:hAnsi="宋体" w:cs="宋体"/>
          <w:color w:val="auto"/>
          <w:sz w:val="24"/>
          <w:highlight w:val="none"/>
        </w:rPr>
      </w:pPr>
    </w:p>
    <w:p w14:paraId="0E87C27B">
      <w:pPr>
        <w:spacing w:line="360" w:lineRule="auto"/>
        <w:jc w:val="center"/>
        <w:rPr>
          <w:rFonts w:ascii="宋体" w:hAnsi="宋体"/>
          <w:color w:val="auto"/>
          <w:sz w:val="30"/>
          <w:szCs w:val="30"/>
          <w:highlight w:val="none"/>
        </w:rPr>
      </w:pPr>
      <w:r>
        <w:rPr>
          <w:rFonts w:hint="eastAsia" w:ascii="宋体" w:hAnsi="宋体"/>
          <w:b/>
          <w:bCs/>
          <w:color w:val="auto"/>
          <w:sz w:val="30"/>
          <w:szCs w:val="30"/>
          <w:highlight w:val="none"/>
        </w:rPr>
        <w:t>4.5投标人廉政承诺书</w:t>
      </w:r>
    </w:p>
    <w:p w14:paraId="7597614D">
      <w:pPr>
        <w:spacing w:line="360" w:lineRule="auto"/>
        <w:rPr>
          <w:rFonts w:ascii="宋体" w:hAnsi="宋体"/>
          <w:color w:val="auto"/>
          <w:sz w:val="24"/>
          <w:highlight w:val="none"/>
        </w:rPr>
      </w:pPr>
      <w:r>
        <w:rPr>
          <w:rFonts w:hint="eastAsia" w:ascii="宋体" w:hAnsi="宋体" w:cs="宋体"/>
          <w:b/>
          <w:color w:val="auto"/>
          <w:sz w:val="24"/>
          <w:highlight w:val="none"/>
          <w:lang w:eastAsia="zh-CN"/>
        </w:rPr>
        <w:t>福建宏达机械有限公司</w:t>
      </w:r>
      <w:r>
        <w:rPr>
          <w:rFonts w:hint="eastAsia" w:ascii="宋体" w:hAnsi="宋体" w:cs="宋体"/>
          <w:b/>
          <w:color w:val="auto"/>
          <w:sz w:val="24"/>
          <w:highlight w:val="none"/>
        </w:rPr>
        <w:t>、福建省宏瑞招标代理有限公司</w:t>
      </w:r>
      <w:r>
        <w:rPr>
          <w:rFonts w:hint="eastAsia" w:ascii="宋体" w:hAnsi="宋体"/>
          <w:color w:val="auto"/>
          <w:sz w:val="24"/>
          <w:highlight w:val="none"/>
        </w:rPr>
        <w:t>：</w:t>
      </w:r>
    </w:p>
    <w:p w14:paraId="341C3A39">
      <w:pPr>
        <w:pStyle w:val="10"/>
        <w:spacing w:line="360" w:lineRule="auto"/>
        <w:rPr>
          <w:rFonts w:hAnsi="宋体" w:cs="宋体"/>
          <w:color w:val="auto"/>
          <w:sz w:val="24"/>
          <w:szCs w:val="24"/>
          <w:highlight w:val="none"/>
        </w:rPr>
      </w:pPr>
      <w:r>
        <w:rPr>
          <w:rFonts w:hint="eastAsia" w:hAnsi="宋体" w:cs="宋体"/>
          <w:color w:val="auto"/>
          <w:sz w:val="24"/>
          <w:szCs w:val="24"/>
          <w:highlight w:val="none"/>
        </w:rPr>
        <w:t>项目名称：</w:t>
      </w:r>
      <w:r>
        <w:rPr>
          <w:rFonts w:hint="eastAsia" w:hAnsi="宋体" w:cs="宋体"/>
          <w:color w:val="auto"/>
          <w:sz w:val="24"/>
          <w:szCs w:val="24"/>
          <w:highlight w:val="none"/>
          <w:lang w:eastAsia="zh-CN"/>
        </w:rPr>
        <w:t>项目编号</w:t>
      </w:r>
      <w:r>
        <w:rPr>
          <w:rFonts w:hint="eastAsia" w:hAnsi="宋体" w:cs="宋体"/>
          <w:color w:val="auto"/>
          <w:sz w:val="24"/>
          <w:szCs w:val="24"/>
          <w:highlight w:val="none"/>
        </w:rPr>
        <w:t>：</w:t>
      </w:r>
    </w:p>
    <w:p w14:paraId="094100BE">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为加强招标活动中的廉政建设，防止发生商业贿赂等违法违纪行为，保护国家、集体和当事人的合法权益，根据相关法律、法规规定，特向贵单位承诺如下事项：</w:t>
      </w:r>
    </w:p>
    <w:p w14:paraId="791B4C06">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一、参与招标活动时，除具备招标文件规定的资格、资质要求外，我方还将严格遵守有关法律、法规、政策以及国家、地方关于廉政建设的各项规定。</w:t>
      </w:r>
    </w:p>
    <w:p w14:paraId="633B9A57">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二、遵循公开、公平、公正、诚实信用原则参加招标活动，不发生损害上述原则及各方当事人合法权益的不正当竞争行为。</w:t>
      </w:r>
    </w:p>
    <w:p w14:paraId="591D5C8C">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三、与招标各方当事人保持正常的业务交往，不向招标人、招标代理机构、监督机构、评审专家、工作人员及其他参与招标活动的人员提供不正当利益。主要有：</w:t>
      </w:r>
    </w:p>
    <w:p w14:paraId="3BD7161A">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1、不向上述人员赠送礼金、有价证券、贵重物品及回扣、好处费、感谢费等。</w:t>
      </w:r>
    </w:p>
    <w:p w14:paraId="7365A1CC">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2、不为上述人员或单位报销应由对方支付的费用。</w:t>
      </w:r>
    </w:p>
    <w:p w14:paraId="04D65760">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3、不为上述人员装修住房、婚丧嫁娶、配偶子女的工作安排以及出国(境)、旅游等提供方便。</w:t>
      </w:r>
    </w:p>
    <w:p w14:paraId="1B66DC38">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4、不为上述人员或单位提供可能影响招标活动的宴请、健身、娱乐等活动。</w:t>
      </w:r>
    </w:p>
    <w:p w14:paraId="5B911DEC">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四、严格执行采购合同，自觉按合同办事。在合同执行过程中，不发生本承诺书第三条中所列不良行为。</w:t>
      </w:r>
    </w:p>
    <w:p w14:paraId="3CB38161">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五、发现招标活动各方当事人有违规、违纪、违法行为的，及时提醒对方，情节严重的，主动向其主管部门或纪检监察、司法等机关举报。</w:t>
      </w:r>
    </w:p>
    <w:p w14:paraId="1FF358E7">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六、自觉接受采购管理部门的监管。在招标活动中出现违反本承诺书规定行为的，自觉接受监管部门的处罚，因违法违规行为给其他当事人造成经济损失的，按规定予以赔偿。</w:t>
      </w:r>
    </w:p>
    <w:p w14:paraId="5224174F">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七、我方自愿将本承诺书作为投标文件的必备要件。在投标时，由我方</w:t>
      </w:r>
      <w:r>
        <w:rPr>
          <w:rFonts w:hint="eastAsia" w:hAnsi="宋体" w:cs="宋体"/>
          <w:color w:val="auto"/>
          <w:sz w:val="24"/>
          <w:szCs w:val="24"/>
          <w:highlight w:val="none"/>
          <w:lang w:eastAsia="zh-CN"/>
        </w:rPr>
        <w:t>法定代表人</w:t>
      </w:r>
      <w:r>
        <w:rPr>
          <w:rFonts w:hint="eastAsia" w:hAnsi="宋体" w:cs="宋体"/>
          <w:color w:val="auto"/>
          <w:sz w:val="24"/>
          <w:szCs w:val="24"/>
          <w:highlight w:val="none"/>
        </w:rPr>
        <w:t>或其委托代理人签署，并随投标文件一并提交，否则可视为未实质响应招标文件，自愿接受由此造成的一切后果和损失。</w:t>
      </w:r>
    </w:p>
    <w:p w14:paraId="75F56637">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八、本承诺书自签署之日起生效。</w:t>
      </w:r>
    </w:p>
    <w:p w14:paraId="727DF39B">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投标人(盖章)：</w:t>
      </w:r>
    </w:p>
    <w:p w14:paraId="1E3CB3A6">
      <w:pPr>
        <w:pStyle w:val="1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法定代表人或投标人代表（签名）：</w:t>
      </w:r>
    </w:p>
    <w:p w14:paraId="6B8EB6AC">
      <w:pPr>
        <w:spacing w:line="360" w:lineRule="auto"/>
        <w:jc w:val="center"/>
        <w:rPr>
          <w:rFonts w:ascii="宋体" w:hAnsi="宋体" w:cs="宋体"/>
          <w:color w:val="auto"/>
          <w:szCs w:val="21"/>
          <w:highlight w:val="none"/>
        </w:rPr>
      </w:pPr>
      <w:r>
        <w:rPr>
          <w:rFonts w:hint="eastAsia" w:ascii="宋体" w:hAnsi="宋体" w:cs="宋体"/>
          <w:color w:val="auto"/>
          <w:sz w:val="24"/>
          <w:highlight w:val="none"/>
        </w:rPr>
        <w:t xml:space="preserve">                        年  月  日</w:t>
      </w:r>
    </w:p>
    <w:p w14:paraId="4C95B3A4">
      <w:pPr>
        <w:jc w:val="center"/>
        <w:rPr>
          <w:rFonts w:ascii="宋体" w:hAnsi="宋体"/>
          <w:b/>
          <w:bCs/>
          <w:color w:val="auto"/>
          <w:sz w:val="30"/>
          <w:szCs w:val="30"/>
          <w:highlight w:val="none"/>
        </w:rPr>
      </w:pPr>
    </w:p>
    <w:p w14:paraId="6FE98754">
      <w:pPr>
        <w:jc w:val="center"/>
        <w:rPr>
          <w:rFonts w:ascii="宋体" w:hAnsi="宋体"/>
          <w:b/>
          <w:bCs/>
          <w:color w:val="auto"/>
          <w:sz w:val="30"/>
          <w:szCs w:val="30"/>
          <w:highlight w:val="none"/>
        </w:rPr>
      </w:pPr>
    </w:p>
    <w:p w14:paraId="29244B95">
      <w:pPr>
        <w:jc w:val="center"/>
        <w:rPr>
          <w:rFonts w:ascii="宋体" w:hAnsi="宋体"/>
          <w:b/>
          <w:bCs/>
          <w:color w:val="auto"/>
          <w:sz w:val="30"/>
          <w:szCs w:val="30"/>
          <w:highlight w:val="none"/>
        </w:rPr>
      </w:pPr>
    </w:p>
    <w:p w14:paraId="7F7F4AD9">
      <w:pPr>
        <w:jc w:val="center"/>
        <w:rPr>
          <w:rFonts w:ascii="宋体" w:hAnsi="宋体"/>
          <w:color w:val="auto"/>
          <w:sz w:val="30"/>
          <w:szCs w:val="30"/>
          <w:highlight w:val="none"/>
        </w:rPr>
      </w:pPr>
      <w:r>
        <w:rPr>
          <w:rFonts w:hint="eastAsia" w:ascii="宋体" w:hAnsi="宋体"/>
          <w:b/>
          <w:bCs/>
          <w:color w:val="auto"/>
          <w:sz w:val="30"/>
          <w:szCs w:val="30"/>
          <w:highlight w:val="none"/>
        </w:rPr>
        <w:t>4.6招标服务费承诺书</w:t>
      </w:r>
    </w:p>
    <w:p w14:paraId="2178646F">
      <w:pPr>
        <w:pStyle w:val="35"/>
        <w:jc w:val="center"/>
        <w:outlineLvl w:val="9"/>
        <w:rPr>
          <w:rFonts w:hAnsi="宋体"/>
          <w:color w:val="auto"/>
          <w:sz w:val="21"/>
          <w:highlight w:val="none"/>
        </w:rPr>
      </w:pPr>
    </w:p>
    <w:p w14:paraId="5DC2F0EF">
      <w:pPr>
        <w:spacing w:line="4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福建省宏瑞招标代理有限公司  </w:t>
      </w:r>
    </w:p>
    <w:p w14:paraId="257D3A21">
      <w:pPr>
        <w:spacing w:line="480" w:lineRule="exact"/>
        <w:rPr>
          <w:rFonts w:ascii="宋体" w:hAnsi="宋体"/>
          <w:color w:val="auto"/>
          <w:sz w:val="24"/>
          <w:highlight w:val="none"/>
        </w:rPr>
      </w:pPr>
    </w:p>
    <w:p w14:paraId="1E1C68E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我们在贵公司组织的项目招标中投标（</w:t>
      </w:r>
      <w:r>
        <w:rPr>
          <w:rFonts w:hint="eastAsia" w:ascii="宋体" w:hAnsi="宋体"/>
          <w:color w:val="auto"/>
          <w:sz w:val="24"/>
          <w:highlight w:val="none"/>
          <w:lang w:eastAsia="zh-CN"/>
        </w:rPr>
        <w:t>项目编号</w:t>
      </w:r>
      <w:r>
        <w:rPr>
          <w:rFonts w:hint="eastAsia" w:ascii="宋体" w:hAnsi="宋体"/>
          <w:color w:val="auto"/>
          <w:sz w:val="24"/>
          <w:highlight w:val="none"/>
        </w:rPr>
        <w:t>：），如获中标，我们保证按招标文件的规定，以支票、汇票、电汇、现金或经贵公司认可的其他付款方式，向贵公司缴交招标服务费。</w:t>
      </w:r>
    </w:p>
    <w:p w14:paraId="5247C45B">
      <w:pPr>
        <w:spacing w:line="480" w:lineRule="exact"/>
        <w:rPr>
          <w:rFonts w:ascii="宋体" w:hAnsi="宋体"/>
          <w:color w:val="auto"/>
          <w:sz w:val="24"/>
          <w:highlight w:val="none"/>
        </w:rPr>
      </w:pPr>
    </w:p>
    <w:p w14:paraId="4CF7365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特此承诺！</w:t>
      </w:r>
    </w:p>
    <w:p w14:paraId="78645BCF">
      <w:pPr>
        <w:spacing w:line="480" w:lineRule="exact"/>
        <w:rPr>
          <w:rFonts w:ascii="宋体" w:hAnsi="宋体"/>
          <w:color w:val="auto"/>
          <w:sz w:val="24"/>
          <w:highlight w:val="none"/>
        </w:rPr>
      </w:pPr>
    </w:p>
    <w:p w14:paraId="1B2BB751">
      <w:pPr>
        <w:spacing w:line="480" w:lineRule="exact"/>
        <w:rPr>
          <w:rFonts w:ascii="宋体" w:hAnsi="宋体"/>
          <w:color w:val="auto"/>
          <w:sz w:val="24"/>
          <w:highlight w:val="none"/>
          <w:u w:val="single"/>
        </w:rPr>
      </w:pPr>
      <w:r>
        <w:rPr>
          <w:rFonts w:hint="eastAsia" w:ascii="宋体" w:hAnsi="宋体"/>
          <w:color w:val="auto"/>
          <w:sz w:val="24"/>
          <w:highlight w:val="none"/>
        </w:rPr>
        <w:t xml:space="preserve">                                    投标人代表签名： </w:t>
      </w:r>
    </w:p>
    <w:p w14:paraId="0B0DE130">
      <w:pPr>
        <w:spacing w:line="480" w:lineRule="exact"/>
        <w:rPr>
          <w:rFonts w:ascii="宋体" w:hAnsi="宋体"/>
          <w:color w:val="auto"/>
          <w:sz w:val="24"/>
          <w:highlight w:val="none"/>
        </w:rPr>
      </w:pPr>
      <w:r>
        <w:rPr>
          <w:rFonts w:hint="eastAsia" w:ascii="宋体" w:hAnsi="宋体"/>
          <w:color w:val="auto"/>
          <w:sz w:val="24"/>
          <w:highlight w:val="none"/>
        </w:rPr>
        <w:t xml:space="preserve">                                       投标人（全称并加盖公章）：</w:t>
      </w:r>
    </w:p>
    <w:p w14:paraId="3D869A8A">
      <w:pPr>
        <w:spacing w:line="480" w:lineRule="exact"/>
        <w:ind w:firstLine="4800" w:firstLineChars="2000"/>
        <w:rPr>
          <w:rFonts w:ascii="宋体" w:hAnsi="宋体"/>
          <w:color w:val="auto"/>
          <w:sz w:val="24"/>
          <w:highlight w:val="none"/>
        </w:rPr>
      </w:pPr>
      <w:r>
        <w:rPr>
          <w:rFonts w:hint="eastAsia" w:ascii="宋体" w:hAnsi="宋体"/>
          <w:color w:val="auto"/>
          <w:sz w:val="24"/>
          <w:highlight w:val="none"/>
        </w:rPr>
        <w:t>日      期：年月  日</w:t>
      </w:r>
    </w:p>
    <w:p w14:paraId="186D0EE5">
      <w:pPr>
        <w:jc w:val="center"/>
        <w:rPr>
          <w:rFonts w:ascii="宋体" w:hAnsi="宋体"/>
          <w:b/>
          <w:bCs/>
          <w:color w:val="auto"/>
          <w:sz w:val="36"/>
          <w:highlight w:val="none"/>
        </w:rPr>
      </w:pPr>
    </w:p>
    <w:p w14:paraId="5AB09391">
      <w:pPr>
        <w:jc w:val="center"/>
        <w:rPr>
          <w:rFonts w:ascii="宋体" w:hAnsi="宋体"/>
          <w:b/>
          <w:bCs/>
          <w:color w:val="auto"/>
          <w:sz w:val="36"/>
          <w:highlight w:val="none"/>
        </w:rPr>
      </w:pPr>
    </w:p>
    <w:p w14:paraId="19DBA9A1">
      <w:pPr>
        <w:jc w:val="center"/>
        <w:rPr>
          <w:rFonts w:ascii="宋体" w:hAnsi="宋体"/>
          <w:b/>
          <w:bCs/>
          <w:color w:val="auto"/>
          <w:sz w:val="36"/>
          <w:highlight w:val="none"/>
        </w:rPr>
      </w:pPr>
    </w:p>
    <w:p w14:paraId="1940975F">
      <w:pPr>
        <w:spacing w:line="1200" w:lineRule="exact"/>
        <w:jc w:val="center"/>
        <w:rPr>
          <w:rFonts w:ascii="宋体" w:hAnsi="宋体"/>
          <w:b/>
          <w:bCs/>
          <w:color w:val="auto"/>
          <w:sz w:val="36"/>
          <w:highlight w:val="none"/>
        </w:rPr>
      </w:pPr>
    </w:p>
    <w:p w14:paraId="54D2DF6E">
      <w:pPr>
        <w:spacing w:line="1200" w:lineRule="exact"/>
        <w:jc w:val="center"/>
        <w:rPr>
          <w:rFonts w:ascii="宋体" w:hAnsi="宋体"/>
          <w:b/>
          <w:bCs/>
          <w:color w:val="auto"/>
          <w:sz w:val="36"/>
          <w:highlight w:val="none"/>
        </w:rPr>
      </w:pPr>
    </w:p>
    <w:p w14:paraId="3E6928C3">
      <w:pPr>
        <w:spacing w:line="1200" w:lineRule="exact"/>
        <w:jc w:val="center"/>
        <w:rPr>
          <w:rFonts w:ascii="宋体" w:hAnsi="宋体"/>
          <w:b/>
          <w:bCs/>
          <w:color w:val="auto"/>
          <w:sz w:val="36"/>
          <w:highlight w:val="none"/>
        </w:rPr>
      </w:pPr>
    </w:p>
    <w:p w14:paraId="243E168D">
      <w:pPr>
        <w:spacing w:line="1200" w:lineRule="exact"/>
        <w:jc w:val="center"/>
        <w:rPr>
          <w:rFonts w:ascii="宋体" w:hAnsi="宋体"/>
          <w:b/>
          <w:bCs/>
          <w:color w:val="auto"/>
          <w:sz w:val="36"/>
          <w:highlight w:val="none"/>
        </w:rPr>
      </w:pPr>
    </w:p>
    <w:p w14:paraId="21E3C8C9">
      <w:pPr>
        <w:pStyle w:val="4"/>
        <w:rPr>
          <w:rFonts w:hint="default"/>
          <w:color w:val="auto"/>
          <w:sz w:val="36"/>
          <w:highlight w:val="none"/>
        </w:rPr>
      </w:pPr>
    </w:p>
    <w:p w14:paraId="2BEDF8F4">
      <w:pPr>
        <w:rPr>
          <w:color w:val="auto"/>
          <w:highlight w:val="none"/>
        </w:rPr>
      </w:pPr>
    </w:p>
    <w:p w14:paraId="71B30F6A">
      <w:pPr>
        <w:jc w:val="center"/>
        <w:rPr>
          <w:rFonts w:ascii="宋体" w:hAnsi="宋体"/>
          <w:b/>
          <w:color w:val="auto"/>
          <w:sz w:val="32"/>
          <w:szCs w:val="32"/>
          <w:highlight w:val="none"/>
        </w:rPr>
      </w:pPr>
    </w:p>
    <w:p w14:paraId="7D53ADFC">
      <w:pPr>
        <w:jc w:val="center"/>
        <w:rPr>
          <w:rFonts w:ascii="宋体" w:hAnsi="宋体"/>
          <w:b/>
          <w:color w:val="auto"/>
          <w:sz w:val="32"/>
          <w:szCs w:val="32"/>
          <w:highlight w:val="none"/>
        </w:rPr>
      </w:pPr>
    </w:p>
    <w:p w14:paraId="2CE666EF">
      <w:pPr>
        <w:jc w:val="center"/>
        <w:rPr>
          <w:rFonts w:ascii="宋体" w:hAnsi="宋体"/>
          <w:b/>
          <w:color w:val="auto"/>
          <w:sz w:val="32"/>
          <w:szCs w:val="32"/>
          <w:highlight w:val="none"/>
        </w:rPr>
      </w:pPr>
    </w:p>
    <w:p w14:paraId="7B9FDF63">
      <w:pPr>
        <w:jc w:val="center"/>
        <w:rPr>
          <w:rFonts w:ascii="宋体" w:hAnsi="宋体"/>
          <w:b/>
          <w:color w:val="auto"/>
          <w:sz w:val="32"/>
          <w:szCs w:val="32"/>
          <w:highlight w:val="none"/>
        </w:rPr>
      </w:pPr>
    </w:p>
    <w:p w14:paraId="75C4B13A">
      <w:pPr>
        <w:jc w:val="center"/>
        <w:rPr>
          <w:color w:val="auto"/>
          <w:highlight w:val="none"/>
        </w:rPr>
      </w:pPr>
      <w:r>
        <w:rPr>
          <w:rFonts w:hint="eastAsia" w:ascii="宋体" w:hAnsi="宋体"/>
          <w:b/>
          <w:color w:val="auto"/>
          <w:sz w:val="32"/>
          <w:szCs w:val="32"/>
          <w:highlight w:val="none"/>
        </w:rPr>
        <w:t>4.7投标保证金复印件</w:t>
      </w:r>
    </w:p>
    <w:p w14:paraId="25968357">
      <w:pPr>
        <w:spacing w:line="440" w:lineRule="exact"/>
        <w:ind w:firstLine="321" w:firstLineChars="100"/>
        <w:jc w:val="center"/>
        <w:rPr>
          <w:rFonts w:ascii="宋体" w:hAnsi="宋体"/>
          <w:b/>
          <w:color w:val="auto"/>
          <w:sz w:val="32"/>
          <w:szCs w:val="32"/>
          <w:highlight w:val="none"/>
        </w:rPr>
      </w:pPr>
    </w:p>
    <w:p w14:paraId="6023177F">
      <w:pPr>
        <w:spacing w:line="440" w:lineRule="exact"/>
        <w:ind w:firstLine="301" w:firstLineChars="100"/>
        <w:jc w:val="center"/>
        <w:rPr>
          <w:rFonts w:ascii="宋体" w:hAnsi="宋体"/>
          <w:b/>
          <w:color w:val="auto"/>
          <w:sz w:val="30"/>
          <w:szCs w:val="30"/>
          <w:highlight w:val="none"/>
        </w:rPr>
      </w:pPr>
    </w:p>
    <w:p w14:paraId="73D1D3F6">
      <w:pPr>
        <w:spacing w:line="440" w:lineRule="exact"/>
        <w:ind w:firstLine="301" w:firstLineChars="100"/>
        <w:jc w:val="center"/>
        <w:rPr>
          <w:rFonts w:ascii="宋体" w:hAnsi="宋体"/>
          <w:b/>
          <w:color w:val="auto"/>
          <w:sz w:val="30"/>
          <w:szCs w:val="30"/>
          <w:highlight w:val="none"/>
        </w:rPr>
      </w:pPr>
    </w:p>
    <w:p w14:paraId="68F0617F">
      <w:pPr>
        <w:spacing w:line="440" w:lineRule="exact"/>
        <w:ind w:firstLine="301" w:firstLineChars="100"/>
        <w:jc w:val="center"/>
        <w:rPr>
          <w:rFonts w:ascii="宋体" w:hAnsi="宋体"/>
          <w:b/>
          <w:color w:val="auto"/>
          <w:sz w:val="30"/>
          <w:szCs w:val="30"/>
          <w:highlight w:val="none"/>
        </w:rPr>
      </w:pPr>
    </w:p>
    <w:p w14:paraId="47EBCE4D">
      <w:pPr>
        <w:pStyle w:val="18"/>
        <w:ind w:firstLine="301"/>
        <w:rPr>
          <w:rFonts w:ascii="宋体" w:hAnsi="宋体"/>
          <w:b/>
          <w:color w:val="auto"/>
          <w:szCs w:val="30"/>
          <w:highlight w:val="none"/>
        </w:rPr>
      </w:pPr>
    </w:p>
    <w:p w14:paraId="12D1A7D0">
      <w:pPr>
        <w:pStyle w:val="19"/>
        <w:ind w:firstLine="602"/>
        <w:rPr>
          <w:b/>
          <w:color w:val="auto"/>
          <w:sz w:val="30"/>
          <w:szCs w:val="30"/>
          <w:highlight w:val="none"/>
        </w:rPr>
      </w:pPr>
    </w:p>
    <w:p w14:paraId="706F9D97">
      <w:pPr>
        <w:pStyle w:val="19"/>
        <w:ind w:firstLine="602"/>
        <w:rPr>
          <w:b/>
          <w:color w:val="auto"/>
          <w:sz w:val="30"/>
          <w:szCs w:val="30"/>
          <w:highlight w:val="none"/>
        </w:rPr>
      </w:pPr>
    </w:p>
    <w:p w14:paraId="2B227731">
      <w:pPr>
        <w:pStyle w:val="19"/>
        <w:ind w:firstLine="602"/>
        <w:rPr>
          <w:b/>
          <w:color w:val="auto"/>
          <w:sz w:val="30"/>
          <w:szCs w:val="30"/>
          <w:highlight w:val="none"/>
        </w:rPr>
      </w:pPr>
    </w:p>
    <w:p w14:paraId="30F3D3F4">
      <w:pPr>
        <w:pStyle w:val="19"/>
        <w:ind w:firstLine="602"/>
        <w:rPr>
          <w:b/>
          <w:color w:val="auto"/>
          <w:sz w:val="30"/>
          <w:szCs w:val="30"/>
          <w:highlight w:val="none"/>
        </w:rPr>
      </w:pPr>
    </w:p>
    <w:p w14:paraId="72E644BC">
      <w:pPr>
        <w:pStyle w:val="19"/>
        <w:ind w:firstLine="602"/>
        <w:rPr>
          <w:b/>
          <w:color w:val="auto"/>
          <w:sz w:val="30"/>
          <w:szCs w:val="30"/>
          <w:highlight w:val="none"/>
        </w:rPr>
      </w:pPr>
    </w:p>
    <w:p w14:paraId="3310FAFC">
      <w:pPr>
        <w:pStyle w:val="19"/>
        <w:ind w:firstLine="602"/>
        <w:rPr>
          <w:b/>
          <w:color w:val="auto"/>
          <w:sz w:val="30"/>
          <w:szCs w:val="30"/>
          <w:highlight w:val="none"/>
        </w:rPr>
      </w:pPr>
    </w:p>
    <w:p w14:paraId="7FC2A983">
      <w:pPr>
        <w:pStyle w:val="19"/>
        <w:ind w:firstLine="602"/>
        <w:rPr>
          <w:b/>
          <w:color w:val="auto"/>
          <w:sz w:val="30"/>
          <w:szCs w:val="30"/>
          <w:highlight w:val="none"/>
        </w:rPr>
      </w:pPr>
    </w:p>
    <w:p w14:paraId="06C85EB5">
      <w:pPr>
        <w:pStyle w:val="19"/>
        <w:ind w:firstLine="602"/>
        <w:rPr>
          <w:b/>
          <w:color w:val="auto"/>
          <w:sz w:val="30"/>
          <w:szCs w:val="30"/>
          <w:highlight w:val="none"/>
        </w:rPr>
      </w:pPr>
    </w:p>
    <w:p w14:paraId="37F4421F">
      <w:pPr>
        <w:pStyle w:val="19"/>
        <w:ind w:firstLine="602"/>
        <w:rPr>
          <w:b/>
          <w:color w:val="auto"/>
          <w:sz w:val="30"/>
          <w:szCs w:val="30"/>
          <w:highlight w:val="none"/>
        </w:rPr>
      </w:pPr>
    </w:p>
    <w:p w14:paraId="0DE4868A">
      <w:pPr>
        <w:pStyle w:val="19"/>
        <w:ind w:firstLine="602"/>
        <w:rPr>
          <w:b/>
          <w:color w:val="auto"/>
          <w:sz w:val="30"/>
          <w:szCs w:val="30"/>
          <w:highlight w:val="none"/>
        </w:rPr>
      </w:pPr>
    </w:p>
    <w:p w14:paraId="7405ACE4">
      <w:pPr>
        <w:pStyle w:val="19"/>
        <w:ind w:firstLine="602"/>
        <w:rPr>
          <w:b/>
          <w:color w:val="auto"/>
          <w:sz w:val="30"/>
          <w:szCs w:val="30"/>
          <w:highlight w:val="none"/>
        </w:rPr>
      </w:pPr>
    </w:p>
    <w:p w14:paraId="28F10019">
      <w:pPr>
        <w:pStyle w:val="19"/>
        <w:ind w:firstLine="602"/>
        <w:rPr>
          <w:b/>
          <w:color w:val="auto"/>
          <w:sz w:val="30"/>
          <w:szCs w:val="30"/>
          <w:highlight w:val="none"/>
        </w:rPr>
      </w:pPr>
    </w:p>
    <w:p w14:paraId="58713EC1">
      <w:pPr>
        <w:spacing w:line="440" w:lineRule="exact"/>
        <w:ind w:firstLine="301" w:firstLineChars="100"/>
        <w:jc w:val="center"/>
        <w:rPr>
          <w:rFonts w:ascii="宋体" w:hAnsi="宋体"/>
          <w:b/>
          <w:color w:val="auto"/>
          <w:sz w:val="30"/>
          <w:szCs w:val="30"/>
          <w:highlight w:val="none"/>
        </w:rPr>
      </w:pPr>
    </w:p>
    <w:p w14:paraId="7BF504D9">
      <w:pPr>
        <w:spacing w:line="440" w:lineRule="exact"/>
        <w:ind w:firstLine="301" w:firstLineChars="100"/>
        <w:jc w:val="center"/>
        <w:rPr>
          <w:rFonts w:ascii="宋体" w:hAnsi="宋体"/>
          <w:b/>
          <w:color w:val="auto"/>
          <w:sz w:val="30"/>
          <w:szCs w:val="30"/>
          <w:highlight w:val="none"/>
        </w:rPr>
      </w:pPr>
    </w:p>
    <w:p w14:paraId="64469253">
      <w:pPr>
        <w:spacing w:line="440" w:lineRule="exact"/>
        <w:ind w:firstLine="301" w:firstLineChars="100"/>
        <w:jc w:val="center"/>
        <w:rPr>
          <w:rFonts w:ascii="宋体" w:hAnsi="宋体"/>
          <w:b/>
          <w:color w:val="auto"/>
          <w:sz w:val="30"/>
          <w:szCs w:val="30"/>
          <w:highlight w:val="none"/>
        </w:rPr>
      </w:pPr>
    </w:p>
    <w:p w14:paraId="131143AD">
      <w:pPr>
        <w:spacing w:line="440" w:lineRule="exact"/>
        <w:ind w:firstLine="301" w:firstLineChars="100"/>
        <w:jc w:val="center"/>
        <w:rPr>
          <w:rFonts w:ascii="宋体" w:hAnsi="宋体"/>
          <w:b/>
          <w:color w:val="auto"/>
          <w:sz w:val="30"/>
          <w:szCs w:val="30"/>
          <w:highlight w:val="none"/>
        </w:rPr>
      </w:pPr>
    </w:p>
    <w:p w14:paraId="24AB1D1A">
      <w:pPr>
        <w:spacing w:line="440" w:lineRule="exact"/>
        <w:ind w:firstLine="301" w:firstLineChars="100"/>
        <w:jc w:val="center"/>
        <w:rPr>
          <w:rFonts w:ascii="宋体" w:hAnsi="宋体"/>
          <w:b/>
          <w:color w:val="auto"/>
          <w:sz w:val="30"/>
          <w:szCs w:val="30"/>
          <w:highlight w:val="none"/>
        </w:rPr>
      </w:pPr>
    </w:p>
    <w:p w14:paraId="33EF3C32">
      <w:pPr>
        <w:spacing w:line="440" w:lineRule="exact"/>
        <w:ind w:firstLine="301" w:firstLineChars="100"/>
        <w:jc w:val="center"/>
        <w:rPr>
          <w:rFonts w:ascii="宋体" w:hAnsi="宋体"/>
          <w:b/>
          <w:color w:val="auto"/>
          <w:sz w:val="30"/>
          <w:szCs w:val="30"/>
          <w:highlight w:val="none"/>
        </w:rPr>
      </w:pPr>
    </w:p>
    <w:p w14:paraId="77874DED">
      <w:pPr>
        <w:spacing w:line="440" w:lineRule="exact"/>
        <w:ind w:firstLine="301" w:firstLineChars="100"/>
        <w:jc w:val="center"/>
        <w:rPr>
          <w:rFonts w:ascii="宋体" w:hAnsi="宋体"/>
          <w:b/>
          <w:color w:val="auto"/>
          <w:sz w:val="30"/>
          <w:szCs w:val="30"/>
          <w:highlight w:val="none"/>
        </w:rPr>
      </w:pPr>
    </w:p>
    <w:p w14:paraId="2ABA1FD3">
      <w:pPr>
        <w:spacing w:line="440" w:lineRule="exact"/>
        <w:ind w:firstLine="301" w:firstLineChars="100"/>
        <w:jc w:val="center"/>
        <w:rPr>
          <w:rFonts w:ascii="宋体" w:hAnsi="宋体"/>
          <w:b/>
          <w:color w:val="auto"/>
          <w:sz w:val="30"/>
          <w:szCs w:val="30"/>
          <w:highlight w:val="none"/>
        </w:rPr>
      </w:pPr>
    </w:p>
    <w:p w14:paraId="59AB2902">
      <w:pPr>
        <w:spacing w:line="440" w:lineRule="exact"/>
        <w:ind w:firstLine="301" w:firstLineChars="100"/>
        <w:jc w:val="center"/>
        <w:rPr>
          <w:rFonts w:ascii="宋体" w:hAnsi="宋体"/>
          <w:b/>
          <w:color w:val="auto"/>
          <w:sz w:val="30"/>
          <w:szCs w:val="30"/>
          <w:highlight w:val="none"/>
        </w:rPr>
      </w:pPr>
      <w:r>
        <w:rPr>
          <w:rFonts w:hint="eastAsia" w:ascii="宋体" w:hAnsi="宋体"/>
          <w:b/>
          <w:color w:val="auto"/>
          <w:sz w:val="30"/>
          <w:szCs w:val="30"/>
          <w:highlight w:val="none"/>
        </w:rPr>
        <w:t>4.8招标文件规定的其他资格证明材料</w:t>
      </w:r>
    </w:p>
    <w:p w14:paraId="0875D780">
      <w:pPr>
        <w:pStyle w:val="18"/>
        <w:ind w:firstLine="300"/>
        <w:rPr>
          <w:color w:val="auto"/>
          <w:szCs w:val="30"/>
          <w:highlight w:val="none"/>
        </w:rPr>
      </w:pPr>
    </w:p>
    <w:p w14:paraId="5AEC0118">
      <w:pPr>
        <w:pStyle w:val="35"/>
        <w:spacing w:line="360" w:lineRule="auto"/>
        <w:jc w:val="center"/>
        <w:outlineLvl w:val="9"/>
        <w:rPr>
          <w:rFonts w:hAnsi="宋体" w:cs="宋体"/>
          <w:bCs/>
          <w:color w:val="auto"/>
          <w:sz w:val="24"/>
          <w:highlight w:val="none"/>
        </w:rPr>
      </w:pPr>
    </w:p>
    <w:p w14:paraId="15BF9FD4">
      <w:pPr>
        <w:pStyle w:val="35"/>
        <w:spacing w:line="360" w:lineRule="auto"/>
        <w:outlineLvl w:val="9"/>
        <w:rPr>
          <w:rFonts w:hAnsi="宋体" w:cs="宋体"/>
          <w:bCs/>
          <w:color w:val="auto"/>
          <w:sz w:val="24"/>
          <w:highlight w:val="none"/>
        </w:rPr>
      </w:pPr>
      <w:r>
        <w:rPr>
          <w:rFonts w:hint="eastAsia" w:hAnsi="宋体" w:cs="宋体"/>
          <w:bCs/>
          <w:color w:val="auto"/>
          <w:sz w:val="24"/>
          <w:highlight w:val="none"/>
        </w:rPr>
        <w:t>（1）招标文件中规定的或投标人认为需要提供的其他资格证明材料。</w:t>
      </w:r>
    </w:p>
    <w:p w14:paraId="5557B8FE">
      <w:pPr>
        <w:pStyle w:val="35"/>
        <w:jc w:val="center"/>
        <w:outlineLvl w:val="9"/>
        <w:rPr>
          <w:rFonts w:hAnsi="宋体"/>
          <w:b/>
          <w:color w:val="auto"/>
          <w:sz w:val="30"/>
          <w:szCs w:val="30"/>
          <w:highlight w:val="none"/>
        </w:rPr>
      </w:pPr>
    </w:p>
    <w:bookmarkEnd w:id="118"/>
    <w:bookmarkEnd w:id="119"/>
    <w:bookmarkEnd w:id="120"/>
    <w:bookmarkEnd w:id="121"/>
    <w:bookmarkEnd w:id="122"/>
    <w:bookmarkEnd w:id="123"/>
    <w:bookmarkEnd w:id="124"/>
    <w:bookmarkEnd w:id="125"/>
    <w:p w14:paraId="17AC7124">
      <w:pPr>
        <w:jc w:val="center"/>
        <w:rPr>
          <w:rFonts w:ascii="宋体" w:hAnsi="宋体"/>
          <w:b/>
          <w:color w:val="auto"/>
          <w:sz w:val="36"/>
          <w:highlight w:val="none"/>
        </w:rPr>
      </w:pPr>
      <w:r>
        <w:rPr>
          <w:rFonts w:ascii="宋体" w:hAnsi="宋体"/>
          <w:b/>
          <w:color w:val="auto"/>
          <w:sz w:val="36"/>
          <w:highlight w:val="none"/>
        </w:rPr>
        <w:br w:type="page"/>
      </w:r>
      <w:r>
        <w:rPr>
          <w:rFonts w:hint="eastAsia" w:ascii="宋体" w:hAnsi="宋体"/>
          <w:b/>
          <w:color w:val="auto"/>
          <w:sz w:val="36"/>
          <w:highlight w:val="none"/>
        </w:rPr>
        <w:t>二、技术商务部分</w:t>
      </w:r>
    </w:p>
    <w:p w14:paraId="3E403518">
      <w:pPr>
        <w:rPr>
          <w:rFonts w:ascii="宋体" w:hAnsi="宋体"/>
          <w:b/>
          <w:color w:val="auto"/>
          <w:szCs w:val="21"/>
          <w:highlight w:val="none"/>
        </w:rPr>
      </w:pPr>
    </w:p>
    <w:p w14:paraId="58E2FF8C">
      <w:pPr>
        <w:rPr>
          <w:rFonts w:ascii="宋体" w:hAnsi="宋体"/>
          <w:color w:val="auto"/>
          <w:szCs w:val="21"/>
          <w:highlight w:val="none"/>
        </w:rPr>
      </w:pPr>
    </w:p>
    <w:p w14:paraId="08B3CFF9">
      <w:pPr>
        <w:rPr>
          <w:rFonts w:ascii="宋体" w:hAnsi="宋体"/>
          <w:color w:val="auto"/>
          <w:szCs w:val="21"/>
          <w:highlight w:val="none"/>
        </w:rPr>
      </w:pPr>
    </w:p>
    <w:p w14:paraId="3D14FCC8">
      <w:pPr>
        <w:spacing w:line="380" w:lineRule="exact"/>
        <w:jc w:val="center"/>
        <w:rPr>
          <w:rFonts w:ascii="宋体" w:hAnsi="宋体"/>
          <w:b/>
          <w:bCs/>
          <w:color w:val="auto"/>
          <w:sz w:val="28"/>
          <w:szCs w:val="28"/>
          <w:highlight w:val="none"/>
        </w:rPr>
      </w:pPr>
      <w:r>
        <w:rPr>
          <w:rFonts w:hint="eastAsia" w:ascii="宋体" w:hAnsi="宋体"/>
          <w:b/>
          <w:bCs/>
          <w:color w:val="auto"/>
          <w:sz w:val="28"/>
          <w:szCs w:val="28"/>
          <w:highlight w:val="none"/>
        </w:rPr>
        <w:t>1、标的说明一览表</w:t>
      </w:r>
    </w:p>
    <w:p w14:paraId="137F848D">
      <w:pPr>
        <w:pStyle w:val="33"/>
        <w:ind w:firstLine="300"/>
        <w:rPr>
          <w:color w:val="auto"/>
          <w:highlight w:val="none"/>
        </w:rPr>
      </w:pPr>
    </w:p>
    <w:p w14:paraId="0FA92B1B">
      <w:pPr>
        <w:spacing w:line="380" w:lineRule="exact"/>
        <w:rPr>
          <w:rFonts w:ascii="宋体" w:hAnsi="宋体"/>
          <w:color w:val="auto"/>
          <w:sz w:val="24"/>
          <w:highlight w:val="none"/>
        </w:rPr>
      </w:pPr>
      <w:r>
        <w:rPr>
          <w:rFonts w:hint="eastAsia" w:ascii="宋体" w:hAnsi="宋体"/>
          <w:color w:val="auto"/>
          <w:sz w:val="24"/>
          <w:highlight w:val="none"/>
        </w:rPr>
        <w:t xml:space="preserve">投标人名称（全称并加盖公章）:                          </w:t>
      </w:r>
      <w:r>
        <w:rPr>
          <w:rFonts w:hint="eastAsia" w:ascii="宋体" w:hAnsi="宋体"/>
          <w:color w:val="auto"/>
          <w:sz w:val="24"/>
          <w:highlight w:val="none"/>
          <w:lang w:eastAsia="zh-CN"/>
        </w:rPr>
        <w:t>项目编号</w:t>
      </w:r>
      <w:r>
        <w:rPr>
          <w:rFonts w:hint="eastAsia" w:ascii="宋体" w:hAnsi="宋体"/>
          <w:color w:val="auto"/>
          <w:sz w:val="24"/>
          <w:highlight w:val="none"/>
        </w:rPr>
        <w:t>∶</w:t>
      </w:r>
    </w:p>
    <w:tbl>
      <w:tblPr>
        <w:tblStyle w:val="20"/>
        <w:tblW w:w="10102" w:type="dxa"/>
        <w:tblInd w:w="0" w:type="dxa"/>
        <w:tblLayout w:type="fixed"/>
        <w:tblCellMar>
          <w:top w:w="0" w:type="dxa"/>
          <w:left w:w="0" w:type="dxa"/>
          <w:bottom w:w="0" w:type="dxa"/>
          <w:right w:w="0" w:type="dxa"/>
        </w:tblCellMar>
      </w:tblPr>
      <w:tblGrid>
        <w:gridCol w:w="1681"/>
        <w:gridCol w:w="1203"/>
        <w:gridCol w:w="3016"/>
        <w:gridCol w:w="1259"/>
        <w:gridCol w:w="1259"/>
        <w:gridCol w:w="1684"/>
      </w:tblGrid>
      <w:tr w14:paraId="616A4F07">
        <w:tblPrEx>
          <w:tblCellMar>
            <w:top w:w="0" w:type="dxa"/>
            <w:left w:w="0" w:type="dxa"/>
            <w:bottom w:w="0" w:type="dxa"/>
            <w:right w:w="0" w:type="dxa"/>
          </w:tblCellMar>
        </w:tblPrEx>
        <w:tc>
          <w:tcPr>
            <w:tcW w:w="1681"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D15BF3E">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12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F106CA">
            <w:pPr>
              <w:pStyle w:val="17"/>
              <w:wordWrap w:val="0"/>
              <w:spacing w:beforeAutospacing="0" w:afterAutospacing="0" w:line="360" w:lineRule="auto"/>
              <w:jc w:val="center"/>
              <w:rPr>
                <w:color w:val="auto"/>
                <w:highlight w:val="none"/>
              </w:rPr>
            </w:pPr>
            <w:r>
              <w:rPr>
                <w:rFonts w:hint="eastAsia"/>
                <w:color w:val="auto"/>
                <w:highlight w:val="none"/>
              </w:rPr>
              <w:t>品目号</w:t>
            </w:r>
          </w:p>
        </w:tc>
        <w:tc>
          <w:tcPr>
            <w:tcW w:w="30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E4D1388">
            <w:pPr>
              <w:pStyle w:val="17"/>
              <w:wordWrap w:val="0"/>
              <w:spacing w:beforeAutospacing="0" w:afterAutospacing="0" w:line="360" w:lineRule="auto"/>
              <w:jc w:val="center"/>
              <w:rPr>
                <w:color w:val="auto"/>
                <w:highlight w:val="none"/>
              </w:rPr>
            </w:pPr>
            <w:r>
              <w:rPr>
                <w:rFonts w:hint="eastAsia"/>
                <w:color w:val="auto"/>
                <w:highlight w:val="none"/>
              </w:rPr>
              <w:t>投标标的</w:t>
            </w: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7BDABC">
            <w:pPr>
              <w:pStyle w:val="17"/>
              <w:wordWrap w:val="0"/>
              <w:spacing w:beforeAutospacing="0" w:afterAutospacing="0" w:line="360" w:lineRule="auto"/>
              <w:jc w:val="center"/>
              <w:rPr>
                <w:color w:val="auto"/>
                <w:highlight w:val="none"/>
              </w:rPr>
            </w:pPr>
            <w:r>
              <w:rPr>
                <w:rFonts w:hint="eastAsia"/>
                <w:color w:val="auto"/>
                <w:highlight w:val="none"/>
              </w:rPr>
              <w:t>数量</w:t>
            </w: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27EE51A">
            <w:pPr>
              <w:pStyle w:val="17"/>
              <w:wordWrap w:val="0"/>
              <w:spacing w:beforeAutospacing="0" w:afterAutospacing="0" w:line="360" w:lineRule="auto"/>
              <w:jc w:val="center"/>
              <w:rPr>
                <w:color w:val="auto"/>
                <w:highlight w:val="none"/>
              </w:rPr>
            </w:pPr>
            <w:r>
              <w:rPr>
                <w:rFonts w:hint="eastAsia"/>
                <w:color w:val="auto"/>
                <w:highlight w:val="none"/>
              </w:rPr>
              <w:t>规格</w:t>
            </w: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FCA15CE">
            <w:pPr>
              <w:pStyle w:val="17"/>
              <w:wordWrap w:val="0"/>
              <w:spacing w:beforeAutospacing="0" w:afterAutospacing="0" w:line="360" w:lineRule="auto"/>
              <w:jc w:val="center"/>
              <w:rPr>
                <w:color w:val="auto"/>
                <w:highlight w:val="none"/>
              </w:rPr>
            </w:pPr>
            <w:r>
              <w:rPr>
                <w:rFonts w:hint="eastAsia"/>
                <w:color w:val="auto"/>
                <w:highlight w:val="none"/>
              </w:rPr>
              <w:t>来源地</w:t>
            </w:r>
          </w:p>
        </w:tc>
      </w:tr>
      <w:tr w14:paraId="6783C413">
        <w:tblPrEx>
          <w:tblCellMar>
            <w:top w:w="0" w:type="dxa"/>
            <w:left w:w="0" w:type="dxa"/>
            <w:bottom w:w="0" w:type="dxa"/>
            <w:right w:w="0" w:type="dxa"/>
          </w:tblCellMar>
        </w:tblPrEx>
        <w:trPr>
          <w:trHeight w:val="478" w:hRule="atLeast"/>
        </w:trPr>
        <w:tc>
          <w:tcPr>
            <w:tcW w:w="168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094EBA7">
            <w:pPr>
              <w:pStyle w:val="17"/>
              <w:wordWrap w:val="0"/>
              <w:spacing w:beforeAutospacing="0" w:afterAutospacing="0" w:line="360" w:lineRule="auto"/>
              <w:jc w:val="center"/>
              <w:rPr>
                <w:color w:val="auto"/>
                <w:highlight w:val="none"/>
              </w:rPr>
            </w:pPr>
            <w:r>
              <w:rPr>
                <w:rFonts w:hint="eastAsia"/>
                <w:color w:val="auto"/>
                <w:highlight w:val="none"/>
              </w:rPr>
              <w:t>*</w:t>
            </w:r>
          </w:p>
        </w:tc>
        <w:tc>
          <w:tcPr>
            <w:tcW w:w="12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7CAD9F4">
            <w:pPr>
              <w:pStyle w:val="17"/>
              <w:wordWrap w:val="0"/>
              <w:spacing w:beforeAutospacing="0" w:afterAutospacing="0" w:line="360" w:lineRule="auto"/>
              <w:jc w:val="both"/>
              <w:rPr>
                <w:color w:val="auto"/>
                <w:highlight w:val="none"/>
              </w:rPr>
            </w:pPr>
          </w:p>
        </w:tc>
        <w:tc>
          <w:tcPr>
            <w:tcW w:w="30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0FD56A7">
            <w:pPr>
              <w:spacing w:line="360" w:lineRule="auto"/>
              <w:jc w:val="center"/>
              <w:rPr>
                <w:rFonts w:ascii="宋体" w:hAnsi="宋体" w:cs="宋体"/>
                <w:color w:val="auto"/>
                <w:sz w:val="24"/>
                <w:highlight w:val="none"/>
              </w:rP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4B6107E">
            <w:pPr>
              <w:spacing w:line="360" w:lineRule="auto"/>
              <w:jc w:val="center"/>
              <w:rPr>
                <w:rFonts w:ascii="宋体" w:hAnsi="宋体" w:cs="宋体"/>
                <w:color w:val="auto"/>
                <w:sz w:val="24"/>
                <w:highlight w:val="none"/>
              </w:rP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691D4E9">
            <w:pPr>
              <w:spacing w:line="360" w:lineRule="auto"/>
              <w:jc w:val="center"/>
              <w:rPr>
                <w:rFonts w:ascii="宋体" w:hAnsi="宋体" w:cs="宋体"/>
                <w:color w:val="auto"/>
                <w:sz w:val="24"/>
                <w:highlight w:val="none"/>
              </w:rPr>
            </w:pP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DA6EE00">
            <w:pPr>
              <w:spacing w:line="360" w:lineRule="auto"/>
              <w:jc w:val="center"/>
              <w:rPr>
                <w:rFonts w:ascii="宋体" w:hAnsi="宋体" w:cs="宋体"/>
                <w:color w:val="auto"/>
                <w:sz w:val="24"/>
                <w:highlight w:val="none"/>
              </w:rPr>
            </w:pPr>
          </w:p>
        </w:tc>
      </w:tr>
      <w:tr w14:paraId="2899028B">
        <w:tblPrEx>
          <w:tblCellMar>
            <w:top w:w="0" w:type="dxa"/>
            <w:left w:w="0" w:type="dxa"/>
            <w:bottom w:w="0" w:type="dxa"/>
            <w:right w:w="0" w:type="dxa"/>
          </w:tblCellMar>
        </w:tblPrEx>
        <w:trPr>
          <w:trHeight w:val="662" w:hRule="atLeast"/>
        </w:trPr>
        <w:tc>
          <w:tcPr>
            <w:tcW w:w="168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53C9AE4">
            <w:pPr>
              <w:spacing w:line="360" w:lineRule="auto"/>
              <w:jc w:val="center"/>
              <w:rPr>
                <w:rFonts w:ascii="宋体" w:hAnsi="宋体" w:cs="宋体"/>
                <w:color w:val="auto"/>
                <w:sz w:val="24"/>
                <w:highlight w:val="none"/>
              </w:rPr>
            </w:pPr>
          </w:p>
        </w:tc>
        <w:tc>
          <w:tcPr>
            <w:tcW w:w="120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BD10B37">
            <w:pPr>
              <w:spacing w:line="360" w:lineRule="auto"/>
              <w:jc w:val="center"/>
              <w:rPr>
                <w:rFonts w:ascii="宋体" w:hAnsi="宋体" w:cs="宋体"/>
                <w:color w:val="auto"/>
                <w:sz w:val="24"/>
                <w:highlight w:val="none"/>
              </w:rPr>
            </w:pPr>
          </w:p>
        </w:tc>
        <w:tc>
          <w:tcPr>
            <w:tcW w:w="3016"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C04F984">
            <w:pPr>
              <w:spacing w:line="360" w:lineRule="auto"/>
              <w:jc w:val="center"/>
              <w:rPr>
                <w:rFonts w:ascii="宋体" w:hAnsi="宋体" w:cs="宋体"/>
                <w:color w:val="auto"/>
                <w:sz w:val="24"/>
                <w:highlight w:val="none"/>
              </w:rP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B8314D3">
            <w:pPr>
              <w:spacing w:line="360" w:lineRule="auto"/>
              <w:jc w:val="center"/>
              <w:rPr>
                <w:rFonts w:ascii="宋体" w:hAnsi="宋体" w:cs="宋体"/>
                <w:color w:val="auto"/>
                <w:sz w:val="24"/>
                <w:highlight w:val="none"/>
              </w:rPr>
            </w:pPr>
          </w:p>
        </w:tc>
        <w:tc>
          <w:tcPr>
            <w:tcW w:w="125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30D6DB9">
            <w:pPr>
              <w:spacing w:line="360" w:lineRule="auto"/>
              <w:jc w:val="center"/>
              <w:rPr>
                <w:rFonts w:ascii="宋体" w:hAnsi="宋体" w:cs="宋体"/>
                <w:color w:val="auto"/>
                <w:sz w:val="24"/>
                <w:highlight w:val="none"/>
              </w:rPr>
            </w:pPr>
          </w:p>
        </w:tc>
        <w:tc>
          <w:tcPr>
            <w:tcW w:w="1684"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A700943">
            <w:pPr>
              <w:spacing w:line="360" w:lineRule="auto"/>
              <w:jc w:val="center"/>
              <w:rPr>
                <w:rFonts w:ascii="宋体" w:hAnsi="宋体" w:cs="宋体"/>
                <w:color w:val="auto"/>
                <w:sz w:val="24"/>
                <w:highlight w:val="none"/>
              </w:rPr>
            </w:pPr>
          </w:p>
        </w:tc>
      </w:tr>
    </w:tbl>
    <w:p w14:paraId="6D3F0D0E">
      <w:pPr>
        <w:pStyle w:val="17"/>
        <w:spacing w:beforeAutospacing="0" w:afterAutospacing="0" w:line="360" w:lineRule="auto"/>
        <w:ind w:left="376" w:right="376" w:firstLine="420"/>
        <w:rPr>
          <w:color w:val="auto"/>
          <w:highlight w:val="none"/>
        </w:rPr>
      </w:pPr>
      <w:r>
        <w:rPr>
          <w:rFonts w:hint="eastAsia"/>
          <w:color w:val="auto"/>
          <w:highlight w:val="none"/>
        </w:rPr>
        <w:t>※注意：</w:t>
      </w:r>
    </w:p>
    <w:p w14:paraId="34884B30">
      <w:pPr>
        <w:pStyle w:val="17"/>
        <w:spacing w:beforeAutospacing="0" w:afterAutospacing="0" w:line="360" w:lineRule="auto"/>
        <w:ind w:left="376" w:right="376" w:firstLine="420"/>
        <w:rPr>
          <w:color w:val="auto"/>
          <w:highlight w:val="none"/>
        </w:rPr>
      </w:pPr>
      <w:r>
        <w:rPr>
          <w:rFonts w:hint="eastAsia"/>
          <w:color w:val="auto"/>
          <w:highlight w:val="none"/>
        </w:rPr>
        <w:t>1、本表应按照下列规定填写：</w:t>
      </w:r>
    </w:p>
    <w:p w14:paraId="1405BBF8">
      <w:pPr>
        <w:pStyle w:val="17"/>
        <w:spacing w:beforeAutospacing="0" w:afterAutospacing="0" w:line="360" w:lineRule="auto"/>
        <w:ind w:left="376" w:right="376" w:firstLine="420"/>
        <w:rPr>
          <w:color w:val="auto"/>
          <w:highlight w:val="none"/>
        </w:rPr>
      </w:pPr>
      <w:r>
        <w:rPr>
          <w:rFonts w:hint="eastAsia"/>
          <w:color w:val="auto"/>
          <w:highlight w:val="none"/>
        </w:rPr>
        <w:t>1.1“合同包”、“品目号”、“投标标的”及“数量”应与招标文件《招标标的一览表》中的有关内容（“合同包”、“品目号”、“投标标的”及“数量”）保持一致。</w:t>
      </w:r>
    </w:p>
    <w:p w14:paraId="0FB4FEB1">
      <w:pPr>
        <w:pStyle w:val="17"/>
        <w:spacing w:beforeAutospacing="0" w:afterAutospacing="0" w:line="360" w:lineRule="auto"/>
        <w:ind w:left="376" w:right="376" w:firstLine="420"/>
        <w:rPr>
          <w:color w:val="auto"/>
          <w:highlight w:val="none"/>
        </w:rPr>
      </w:pPr>
      <w:r>
        <w:rPr>
          <w:rFonts w:hint="eastAsia"/>
          <w:color w:val="auto"/>
          <w:highlight w:val="none"/>
        </w:rPr>
        <w:t>1.2“投标标的”为服务的：“规格”项下应填写服务提供者提供的服务标准及品牌（若有）。“来源地”应填写服务提供者的所在地。“备注”项下应填写关于服务标准所涵盖的具体项目或内容的说明等。</w:t>
      </w:r>
    </w:p>
    <w:p w14:paraId="73F73604">
      <w:pPr>
        <w:pStyle w:val="17"/>
        <w:spacing w:beforeAutospacing="0" w:afterAutospacing="0" w:line="360" w:lineRule="auto"/>
        <w:ind w:left="376" w:right="376" w:firstLine="420"/>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A085185">
      <w:pPr>
        <w:pStyle w:val="17"/>
        <w:spacing w:beforeAutospacing="0" w:afterAutospacing="0" w:line="360" w:lineRule="auto"/>
        <w:ind w:left="376" w:right="376" w:firstLine="420"/>
        <w:jc w:val="right"/>
        <w:rPr>
          <w:color w:val="auto"/>
          <w:highlight w:val="none"/>
        </w:rPr>
      </w:pPr>
    </w:p>
    <w:p w14:paraId="45990C4B">
      <w:pPr>
        <w:pStyle w:val="33"/>
        <w:ind w:firstLine="240"/>
        <w:rPr>
          <w:rFonts w:ascii="宋体" w:hAnsi="宋体"/>
          <w:color w:val="auto"/>
          <w:sz w:val="24"/>
          <w:highlight w:val="none"/>
        </w:rPr>
      </w:pPr>
    </w:p>
    <w:p w14:paraId="1A99622D">
      <w:pPr>
        <w:pStyle w:val="33"/>
        <w:ind w:firstLine="240"/>
        <w:rPr>
          <w:rFonts w:ascii="宋体" w:hAnsi="宋体"/>
          <w:color w:val="auto"/>
          <w:sz w:val="24"/>
          <w:highlight w:val="none"/>
        </w:rPr>
      </w:pPr>
    </w:p>
    <w:p w14:paraId="195E9263">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w:t>
      </w:r>
      <w:r>
        <w:rPr>
          <w:rFonts w:ascii="宋体" w:hAnsi="宋体" w:cs="宋体"/>
          <w:color w:val="auto"/>
          <w:kern w:val="0"/>
          <w:sz w:val="24"/>
          <w:highlight w:val="none"/>
          <w:u w:val="single"/>
        </w:rPr>
        <w:t>（全称并加盖单位公章）</w:t>
      </w:r>
    </w:p>
    <w:p w14:paraId="1247D995">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投标人代表签字：</w:t>
      </w:r>
      <w:r>
        <w:rPr>
          <w:rFonts w:ascii="宋体" w:hAnsi="宋体" w:cs="宋体"/>
          <w:color w:val="auto"/>
          <w:kern w:val="0"/>
          <w:sz w:val="24"/>
          <w:highlight w:val="none"/>
          <w:u w:val="single"/>
        </w:rPr>
        <w:t>                   </w:t>
      </w:r>
    </w:p>
    <w:p w14:paraId="6D81F367">
      <w:pPr>
        <w:widowControl/>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t>日期：</w:t>
      </w:r>
      <w:r>
        <w:rPr>
          <w:rFonts w:ascii="宋体" w:hAnsi="宋体" w:cs="宋体"/>
          <w:color w:val="auto"/>
          <w:kern w:val="0"/>
          <w:sz w:val="24"/>
          <w:highlight w:val="none"/>
          <w:u w:val="single"/>
        </w:rPr>
        <w:t>    </w:t>
      </w:r>
      <w:r>
        <w:rPr>
          <w:rFonts w:ascii="宋体" w:hAnsi="宋体" w:cs="宋体"/>
          <w:color w:val="auto"/>
          <w:kern w:val="0"/>
          <w:sz w:val="24"/>
          <w:highlight w:val="none"/>
        </w:rPr>
        <w:t>年</w:t>
      </w:r>
      <w:r>
        <w:rPr>
          <w:rFonts w:ascii="宋体" w:hAnsi="宋体" w:cs="宋体"/>
          <w:color w:val="auto"/>
          <w:kern w:val="0"/>
          <w:sz w:val="24"/>
          <w:highlight w:val="none"/>
          <w:u w:val="single"/>
        </w:rPr>
        <w:t>   </w:t>
      </w:r>
      <w:r>
        <w:rPr>
          <w:rFonts w:ascii="宋体" w:hAnsi="宋体" w:cs="宋体"/>
          <w:color w:val="auto"/>
          <w:kern w:val="0"/>
          <w:sz w:val="24"/>
          <w:highlight w:val="none"/>
        </w:rPr>
        <w:t>月</w:t>
      </w:r>
      <w:r>
        <w:rPr>
          <w:rFonts w:ascii="宋体" w:hAnsi="宋体" w:cs="宋体"/>
          <w:color w:val="auto"/>
          <w:kern w:val="0"/>
          <w:sz w:val="24"/>
          <w:highlight w:val="none"/>
          <w:u w:val="single"/>
        </w:rPr>
        <w:t>   </w:t>
      </w:r>
      <w:r>
        <w:rPr>
          <w:rFonts w:ascii="宋体" w:hAnsi="宋体" w:cs="宋体"/>
          <w:color w:val="auto"/>
          <w:kern w:val="0"/>
          <w:sz w:val="24"/>
          <w:highlight w:val="none"/>
        </w:rPr>
        <w:t>日</w:t>
      </w:r>
    </w:p>
    <w:p w14:paraId="4307B53D">
      <w:pPr>
        <w:rPr>
          <w:rFonts w:ascii="宋体" w:hAnsi="宋体"/>
          <w:color w:val="auto"/>
          <w:szCs w:val="21"/>
          <w:highlight w:val="none"/>
        </w:rPr>
      </w:pPr>
    </w:p>
    <w:p w14:paraId="762EE92B">
      <w:pPr>
        <w:rPr>
          <w:rFonts w:ascii="宋体" w:hAnsi="宋体"/>
          <w:color w:val="auto"/>
          <w:szCs w:val="21"/>
          <w:highlight w:val="none"/>
        </w:rPr>
      </w:pPr>
    </w:p>
    <w:p w14:paraId="542B533D">
      <w:pPr>
        <w:spacing w:line="480" w:lineRule="exact"/>
        <w:rPr>
          <w:rFonts w:ascii="宋体" w:hAnsi="宋体"/>
          <w:color w:val="auto"/>
          <w:sz w:val="24"/>
          <w:highlight w:val="none"/>
        </w:rPr>
      </w:pPr>
    </w:p>
    <w:p w14:paraId="25240B46">
      <w:pPr>
        <w:pStyle w:val="33"/>
        <w:ind w:firstLine="240"/>
        <w:rPr>
          <w:rFonts w:ascii="宋体" w:hAnsi="宋体"/>
          <w:color w:val="auto"/>
          <w:sz w:val="24"/>
          <w:highlight w:val="none"/>
        </w:rPr>
      </w:pPr>
    </w:p>
    <w:p w14:paraId="17B4D6D5">
      <w:pPr>
        <w:pStyle w:val="33"/>
        <w:ind w:firstLine="240"/>
        <w:rPr>
          <w:rFonts w:ascii="宋体" w:hAnsi="宋体"/>
          <w:color w:val="auto"/>
          <w:sz w:val="24"/>
          <w:highlight w:val="none"/>
        </w:rPr>
      </w:pPr>
    </w:p>
    <w:p w14:paraId="0CFA6559">
      <w:pPr>
        <w:pStyle w:val="33"/>
        <w:ind w:firstLine="240"/>
        <w:rPr>
          <w:rFonts w:ascii="宋体" w:hAnsi="宋体"/>
          <w:color w:val="auto"/>
          <w:sz w:val="24"/>
          <w:highlight w:val="none"/>
        </w:rPr>
      </w:pPr>
    </w:p>
    <w:p w14:paraId="5670D666">
      <w:pPr>
        <w:pStyle w:val="33"/>
        <w:ind w:firstLine="240"/>
        <w:rPr>
          <w:rFonts w:ascii="宋体" w:hAnsi="宋体"/>
          <w:color w:val="auto"/>
          <w:sz w:val="24"/>
          <w:highlight w:val="none"/>
        </w:rPr>
      </w:pPr>
    </w:p>
    <w:p w14:paraId="6E3CB773">
      <w:pPr>
        <w:pStyle w:val="3"/>
        <w:widowControl/>
        <w:spacing w:beforeAutospacing="0" w:afterAutospacing="0" w:line="360" w:lineRule="auto"/>
        <w:ind w:left="376" w:right="376"/>
        <w:jc w:val="center"/>
        <w:rPr>
          <w:rFonts w:hint="default" w:cs="宋体"/>
          <w:color w:val="auto"/>
          <w:sz w:val="28"/>
          <w:szCs w:val="28"/>
          <w:highlight w:val="none"/>
        </w:rPr>
      </w:pPr>
      <w:bookmarkStart w:id="126" w:name="_Toc28543"/>
      <w:r>
        <w:rPr>
          <w:color w:val="auto"/>
          <w:sz w:val="28"/>
          <w:szCs w:val="28"/>
          <w:highlight w:val="none"/>
        </w:rPr>
        <w:t>2、</w:t>
      </w:r>
      <w:r>
        <w:rPr>
          <w:rFonts w:cs="宋体"/>
          <w:color w:val="auto"/>
          <w:sz w:val="28"/>
          <w:szCs w:val="28"/>
          <w:highlight w:val="none"/>
        </w:rPr>
        <w:t>技术和服务要求响应表</w:t>
      </w:r>
      <w:bookmarkEnd w:id="126"/>
    </w:p>
    <w:p w14:paraId="7AC1B3C8">
      <w:pPr>
        <w:pStyle w:val="17"/>
        <w:spacing w:beforeAutospacing="0" w:afterAutospacing="0" w:line="360" w:lineRule="auto"/>
        <w:ind w:right="376"/>
        <w:rPr>
          <w:color w:val="auto"/>
          <w:highlight w:val="none"/>
        </w:rPr>
      </w:pPr>
      <w:r>
        <w:rPr>
          <w:rFonts w:hint="eastAsia"/>
          <w:color w:val="auto"/>
          <w:highlight w:val="none"/>
          <w:lang w:eastAsia="zh-CN"/>
        </w:rPr>
        <w:t>项目编号</w:t>
      </w:r>
      <w:r>
        <w:rPr>
          <w:rFonts w:hint="eastAsia"/>
          <w:color w:val="auto"/>
          <w:highlight w:val="none"/>
        </w:rPr>
        <w:t>：</w:t>
      </w:r>
      <w:r>
        <w:rPr>
          <w:rFonts w:hint="eastAsia"/>
          <w:color w:val="auto"/>
          <w:highlight w:val="none"/>
          <w:u w:val="single"/>
        </w:rPr>
        <w:t>　　　　　　　　</w:t>
      </w:r>
    </w:p>
    <w:tbl>
      <w:tblPr>
        <w:tblStyle w:val="20"/>
        <w:tblW w:w="10104" w:type="dxa"/>
        <w:tblInd w:w="0" w:type="dxa"/>
        <w:tblLayout w:type="fixed"/>
        <w:tblCellMar>
          <w:top w:w="0" w:type="dxa"/>
          <w:left w:w="0" w:type="dxa"/>
          <w:bottom w:w="0" w:type="dxa"/>
          <w:right w:w="0" w:type="dxa"/>
        </w:tblCellMar>
      </w:tblPr>
      <w:tblGrid>
        <w:gridCol w:w="1612"/>
        <w:gridCol w:w="3235"/>
        <w:gridCol w:w="2020"/>
        <w:gridCol w:w="3237"/>
      </w:tblGrid>
      <w:tr w14:paraId="70C3D955">
        <w:tblPrEx>
          <w:tblCellMar>
            <w:top w:w="0" w:type="dxa"/>
            <w:left w:w="0" w:type="dxa"/>
            <w:bottom w:w="0" w:type="dxa"/>
            <w:right w:w="0" w:type="dxa"/>
          </w:tblCellMar>
        </w:tblPrEx>
        <w:tc>
          <w:tcPr>
            <w:tcW w:w="1612"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D65B9EB">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1A5471D">
            <w:pPr>
              <w:pStyle w:val="17"/>
              <w:wordWrap w:val="0"/>
              <w:spacing w:beforeAutospacing="0" w:afterAutospacing="0" w:line="360" w:lineRule="auto"/>
              <w:jc w:val="center"/>
              <w:rPr>
                <w:color w:val="auto"/>
                <w:highlight w:val="none"/>
              </w:rPr>
            </w:pPr>
            <w:r>
              <w:rPr>
                <w:rFonts w:hint="eastAsia"/>
                <w:color w:val="auto"/>
                <w:highlight w:val="none"/>
              </w:rPr>
              <w:t>技术和服务要求</w:t>
            </w: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34285DF">
            <w:pPr>
              <w:pStyle w:val="17"/>
              <w:wordWrap w:val="0"/>
              <w:spacing w:beforeAutospacing="0" w:afterAutospacing="0" w:line="360" w:lineRule="auto"/>
              <w:jc w:val="center"/>
              <w:rPr>
                <w:color w:val="auto"/>
                <w:highlight w:val="none"/>
              </w:rPr>
            </w:pPr>
            <w:r>
              <w:rPr>
                <w:rFonts w:hint="eastAsia"/>
                <w:color w:val="auto"/>
                <w:highlight w:val="none"/>
              </w:rPr>
              <w:t>投标响应</w:t>
            </w: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B6F960C">
            <w:pPr>
              <w:pStyle w:val="17"/>
              <w:wordWrap w:val="0"/>
              <w:spacing w:beforeAutospacing="0" w:afterAutospacing="0" w:line="360" w:lineRule="auto"/>
              <w:jc w:val="center"/>
              <w:rPr>
                <w:color w:val="auto"/>
                <w:highlight w:val="none"/>
              </w:rPr>
            </w:pPr>
            <w:r>
              <w:rPr>
                <w:rFonts w:hint="eastAsia"/>
                <w:color w:val="auto"/>
                <w:highlight w:val="none"/>
              </w:rPr>
              <w:t>是否偏离及说明</w:t>
            </w:r>
          </w:p>
        </w:tc>
      </w:tr>
      <w:tr w14:paraId="247B58A9">
        <w:tblPrEx>
          <w:tblCellMar>
            <w:top w:w="0" w:type="dxa"/>
            <w:left w:w="0" w:type="dxa"/>
            <w:bottom w:w="0" w:type="dxa"/>
            <w:right w:w="0" w:type="dxa"/>
          </w:tblCellMar>
        </w:tblPrEx>
        <w:tc>
          <w:tcPr>
            <w:tcW w:w="161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FAE6747">
            <w:pPr>
              <w:pStyle w:val="17"/>
              <w:wordWrap w:val="0"/>
              <w:spacing w:beforeAutospacing="0" w:afterAutospacing="0" w:line="360" w:lineRule="auto"/>
              <w:jc w:val="center"/>
              <w:rPr>
                <w:color w:val="auto"/>
                <w:highlight w:val="none"/>
              </w:rPr>
            </w:pPr>
            <w:r>
              <w:rPr>
                <w:rFonts w:hint="eastAsia"/>
                <w:color w:val="auto"/>
                <w:highlight w:val="none"/>
              </w:rPr>
              <w:t>*</w:t>
            </w: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29A6C68">
            <w:pPr>
              <w:spacing w:line="360" w:lineRule="auto"/>
              <w:rPr>
                <w:rFonts w:ascii="宋体" w:hAnsi="宋体" w:cs="宋体"/>
                <w:color w:val="auto"/>
                <w:sz w:val="24"/>
                <w:highlight w:val="none"/>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54B0D9D">
            <w:pPr>
              <w:spacing w:line="360" w:lineRule="auto"/>
              <w:rPr>
                <w:rFonts w:ascii="宋体" w:hAnsi="宋体" w:cs="宋体"/>
                <w:color w:val="auto"/>
                <w:sz w:val="24"/>
                <w:highlight w:val="none"/>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7141DB65">
            <w:pPr>
              <w:spacing w:line="360" w:lineRule="auto"/>
              <w:rPr>
                <w:rFonts w:ascii="宋体" w:hAnsi="宋体" w:cs="宋体"/>
                <w:color w:val="auto"/>
                <w:sz w:val="24"/>
                <w:highlight w:val="none"/>
              </w:rPr>
            </w:pPr>
          </w:p>
        </w:tc>
      </w:tr>
      <w:tr w14:paraId="270B470B">
        <w:tc>
          <w:tcPr>
            <w:tcW w:w="161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48FB13D">
            <w:pPr>
              <w:spacing w:line="360" w:lineRule="auto"/>
              <w:rPr>
                <w:rFonts w:ascii="宋体" w:hAnsi="宋体" w:cs="宋体"/>
                <w:color w:val="auto"/>
                <w:sz w:val="24"/>
                <w:highlight w:val="none"/>
              </w:rPr>
            </w:pPr>
          </w:p>
        </w:tc>
        <w:tc>
          <w:tcPr>
            <w:tcW w:w="323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2845856">
            <w:pPr>
              <w:spacing w:line="360" w:lineRule="auto"/>
              <w:rPr>
                <w:rFonts w:ascii="宋体" w:hAnsi="宋体" w:cs="宋体"/>
                <w:color w:val="auto"/>
                <w:sz w:val="24"/>
                <w:highlight w:val="none"/>
              </w:rPr>
            </w:pPr>
          </w:p>
        </w:tc>
        <w:tc>
          <w:tcPr>
            <w:tcW w:w="2020"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00D71EC">
            <w:pPr>
              <w:spacing w:line="360" w:lineRule="auto"/>
              <w:rPr>
                <w:rFonts w:ascii="宋体" w:hAnsi="宋体" w:cs="宋体"/>
                <w:color w:val="auto"/>
                <w:sz w:val="24"/>
                <w:highlight w:val="none"/>
              </w:rPr>
            </w:pPr>
          </w:p>
        </w:tc>
        <w:tc>
          <w:tcPr>
            <w:tcW w:w="3237"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33E3C37C">
            <w:pPr>
              <w:spacing w:line="360" w:lineRule="auto"/>
              <w:rPr>
                <w:rFonts w:ascii="宋体" w:hAnsi="宋体" w:cs="宋体"/>
                <w:color w:val="auto"/>
                <w:sz w:val="24"/>
                <w:highlight w:val="none"/>
              </w:rPr>
            </w:pPr>
          </w:p>
        </w:tc>
      </w:tr>
    </w:tbl>
    <w:p w14:paraId="6E2C8CCB">
      <w:pPr>
        <w:pStyle w:val="17"/>
        <w:spacing w:beforeAutospacing="0" w:afterAutospacing="0" w:line="360" w:lineRule="auto"/>
        <w:ind w:right="376"/>
        <w:rPr>
          <w:color w:val="auto"/>
          <w:highlight w:val="none"/>
        </w:rPr>
      </w:pPr>
      <w:r>
        <w:rPr>
          <w:rFonts w:hint="eastAsia"/>
          <w:color w:val="auto"/>
          <w:highlight w:val="none"/>
        </w:rPr>
        <w:t>※注意：</w:t>
      </w:r>
    </w:p>
    <w:p w14:paraId="4CCE9C10">
      <w:pPr>
        <w:pStyle w:val="17"/>
        <w:spacing w:beforeAutospacing="0" w:afterAutospacing="0" w:line="360" w:lineRule="auto"/>
        <w:ind w:right="376"/>
        <w:rPr>
          <w:color w:val="auto"/>
          <w:highlight w:val="none"/>
        </w:rPr>
      </w:pPr>
      <w:r>
        <w:rPr>
          <w:rFonts w:hint="eastAsia"/>
          <w:color w:val="auto"/>
          <w:highlight w:val="none"/>
        </w:rPr>
        <w:t>1、本表应按照下列规定填写：</w:t>
      </w:r>
    </w:p>
    <w:p w14:paraId="5753BBD5">
      <w:pPr>
        <w:pStyle w:val="17"/>
        <w:spacing w:beforeAutospacing="0" w:afterAutospacing="0" w:line="360" w:lineRule="auto"/>
        <w:ind w:right="376"/>
        <w:rPr>
          <w:color w:val="auto"/>
          <w:highlight w:val="none"/>
        </w:rPr>
      </w:pPr>
      <w:r>
        <w:rPr>
          <w:rFonts w:hint="eastAsia"/>
          <w:color w:val="auto"/>
          <w:highlight w:val="none"/>
        </w:rPr>
        <w:t>1.1“技术和服务要求”项下填写的内容应与招标文件第三章“二、技术和服务要求”的内容保持一致。</w:t>
      </w:r>
    </w:p>
    <w:p w14:paraId="4B01923F">
      <w:pPr>
        <w:pStyle w:val="17"/>
        <w:spacing w:beforeAutospacing="0" w:afterAutospacing="0" w:line="360" w:lineRule="auto"/>
        <w:ind w:right="376"/>
        <w:rPr>
          <w:color w:val="auto"/>
          <w:highlight w:val="none"/>
        </w:rPr>
      </w:pPr>
      <w:r>
        <w:rPr>
          <w:rFonts w:hint="eastAsia"/>
          <w:color w:val="auto"/>
          <w:highlight w:val="none"/>
        </w:rPr>
        <w:t>1.2“投标响应”项下应填写具体的响应内容并与“技术和服务要求”项下填写的内容逐项对应。</w:t>
      </w:r>
    </w:p>
    <w:p w14:paraId="5965624E">
      <w:pPr>
        <w:pStyle w:val="17"/>
        <w:spacing w:beforeAutospacing="0" w:afterAutospacing="0" w:line="360" w:lineRule="auto"/>
        <w:ind w:right="376"/>
        <w:rPr>
          <w:color w:val="auto"/>
          <w:highlight w:val="none"/>
        </w:rPr>
      </w:pPr>
      <w:r>
        <w:rPr>
          <w:rFonts w:hint="eastAsia"/>
          <w:color w:val="auto"/>
          <w:highlight w:val="none"/>
        </w:rPr>
        <w:t>1.3“是否偏离及说明”项下应按下列规定填写：优于的，填写“正偏离”；符合的，填写“无偏离”；低于的，填写“负偏离”。</w:t>
      </w:r>
    </w:p>
    <w:p w14:paraId="57006328">
      <w:pPr>
        <w:pStyle w:val="17"/>
        <w:spacing w:beforeAutospacing="0" w:afterAutospacing="0" w:line="360" w:lineRule="auto"/>
        <w:ind w:right="376"/>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C91D26D">
      <w:pPr>
        <w:pStyle w:val="17"/>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14:paraId="25E99412">
      <w:pPr>
        <w:pStyle w:val="17"/>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14:paraId="772266DA">
      <w:pPr>
        <w:pStyle w:val="17"/>
        <w:spacing w:beforeAutospacing="0" w:afterAutospacing="0" w:line="360" w:lineRule="auto"/>
        <w:ind w:left="376" w:right="376" w:firstLine="420"/>
        <w:rPr>
          <w:color w:val="auto"/>
          <w:highlight w:val="none"/>
        </w:rPr>
      </w:pPr>
      <w:r>
        <w:rPr>
          <w:rFonts w:hint="eastAsia"/>
          <w:color w:val="auto"/>
          <w:highlight w:val="none"/>
        </w:rPr>
        <w:t> </w:t>
      </w:r>
    </w:p>
    <w:p w14:paraId="37B45145">
      <w:pPr>
        <w:rPr>
          <w:rFonts w:cs="宋体"/>
          <w:color w:val="auto"/>
          <w:sz w:val="24"/>
          <w:highlight w:val="none"/>
        </w:rPr>
      </w:pPr>
    </w:p>
    <w:p w14:paraId="7DC29D35">
      <w:pPr>
        <w:rPr>
          <w:rFonts w:cs="宋体"/>
          <w:color w:val="auto"/>
          <w:sz w:val="24"/>
          <w:highlight w:val="none"/>
        </w:rPr>
      </w:pPr>
    </w:p>
    <w:p w14:paraId="3DF12883">
      <w:pPr>
        <w:rPr>
          <w:rFonts w:cs="宋体"/>
          <w:color w:val="auto"/>
          <w:sz w:val="24"/>
          <w:highlight w:val="none"/>
        </w:rPr>
      </w:pPr>
    </w:p>
    <w:p w14:paraId="380C5547">
      <w:pPr>
        <w:rPr>
          <w:rFonts w:cs="宋体"/>
          <w:color w:val="auto"/>
          <w:sz w:val="24"/>
          <w:highlight w:val="none"/>
        </w:rPr>
      </w:pPr>
    </w:p>
    <w:p w14:paraId="3DDA3D62">
      <w:pPr>
        <w:rPr>
          <w:rFonts w:cs="宋体"/>
          <w:color w:val="auto"/>
          <w:sz w:val="24"/>
          <w:highlight w:val="none"/>
        </w:rPr>
      </w:pPr>
    </w:p>
    <w:p w14:paraId="604B6018">
      <w:pPr>
        <w:rPr>
          <w:rFonts w:cs="宋体"/>
          <w:color w:val="auto"/>
          <w:sz w:val="24"/>
          <w:highlight w:val="none"/>
        </w:rPr>
      </w:pPr>
    </w:p>
    <w:p w14:paraId="08C72A99">
      <w:pPr>
        <w:rPr>
          <w:rFonts w:cs="宋体"/>
          <w:color w:val="auto"/>
          <w:sz w:val="24"/>
          <w:highlight w:val="none"/>
        </w:rPr>
      </w:pPr>
    </w:p>
    <w:p w14:paraId="57BD6470">
      <w:pPr>
        <w:rPr>
          <w:rFonts w:cs="宋体"/>
          <w:color w:val="auto"/>
          <w:sz w:val="24"/>
          <w:highlight w:val="none"/>
        </w:rPr>
      </w:pPr>
    </w:p>
    <w:p w14:paraId="51C2B2F5">
      <w:pPr>
        <w:rPr>
          <w:rFonts w:cs="宋体"/>
          <w:color w:val="auto"/>
          <w:sz w:val="24"/>
          <w:highlight w:val="none"/>
        </w:rPr>
      </w:pPr>
    </w:p>
    <w:p w14:paraId="0E2C8704">
      <w:pPr>
        <w:rPr>
          <w:rFonts w:cs="宋体"/>
          <w:color w:val="auto"/>
          <w:sz w:val="24"/>
          <w:highlight w:val="none"/>
        </w:rPr>
      </w:pPr>
    </w:p>
    <w:p w14:paraId="42F74E11">
      <w:pPr>
        <w:rPr>
          <w:rFonts w:cs="宋体"/>
          <w:color w:val="auto"/>
          <w:sz w:val="24"/>
          <w:highlight w:val="none"/>
        </w:rPr>
      </w:pPr>
    </w:p>
    <w:p w14:paraId="301B102C">
      <w:pPr>
        <w:pStyle w:val="3"/>
        <w:widowControl/>
        <w:spacing w:beforeAutospacing="0" w:afterAutospacing="0" w:line="360" w:lineRule="auto"/>
        <w:ind w:left="376" w:right="376"/>
        <w:jc w:val="center"/>
        <w:rPr>
          <w:rFonts w:hint="default" w:cs="宋体"/>
          <w:color w:val="auto"/>
          <w:sz w:val="24"/>
          <w:szCs w:val="24"/>
          <w:highlight w:val="none"/>
        </w:rPr>
      </w:pPr>
      <w:bookmarkStart w:id="127" w:name="_Toc11220"/>
      <w:r>
        <w:rPr>
          <w:rFonts w:cs="宋体"/>
          <w:color w:val="auto"/>
          <w:sz w:val="28"/>
          <w:szCs w:val="28"/>
          <w:highlight w:val="none"/>
        </w:rPr>
        <w:t>3、商务条件响应表</w:t>
      </w:r>
      <w:bookmarkEnd w:id="127"/>
    </w:p>
    <w:p w14:paraId="47F0AB82">
      <w:pPr>
        <w:pStyle w:val="17"/>
        <w:spacing w:beforeAutospacing="0" w:afterAutospacing="0" w:line="360" w:lineRule="auto"/>
        <w:ind w:right="376"/>
        <w:jc w:val="both"/>
        <w:rPr>
          <w:color w:val="auto"/>
          <w:highlight w:val="none"/>
        </w:rPr>
      </w:pPr>
      <w:r>
        <w:rPr>
          <w:rFonts w:hint="eastAsia"/>
          <w:color w:val="auto"/>
          <w:highlight w:val="none"/>
          <w:lang w:eastAsia="zh-CN"/>
        </w:rPr>
        <w:t>项目编号</w:t>
      </w:r>
      <w:r>
        <w:rPr>
          <w:rFonts w:hint="eastAsia"/>
          <w:color w:val="auto"/>
          <w:highlight w:val="none"/>
        </w:rPr>
        <w:t>：</w:t>
      </w:r>
    </w:p>
    <w:tbl>
      <w:tblPr>
        <w:tblStyle w:val="20"/>
        <w:tblW w:w="10102" w:type="dxa"/>
        <w:tblInd w:w="0" w:type="dxa"/>
        <w:tblLayout w:type="fixed"/>
        <w:tblCellMar>
          <w:top w:w="0" w:type="dxa"/>
          <w:left w:w="0" w:type="dxa"/>
          <w:bottom w:w="0" w:type="dxa"/>
          <w:right w:w="0" w:type="dxa"/>
        </w:tblCellMar>
      </w:tblPr>
      <w:tblGrid>
        <w:gridCol w:w="1833"/>
        <w:gridCol w:w="2295"/>
        <w:gridCol w:w="2295"/>
        <w:gridCol w:w="3679"/>
      </w:tblGrid>
      <w:tr w14:paraId="253C6F8F">
        <w:tblPrEx>
          <w:tblCellMar>
            <w:top w:w="0" w:type="dxa"/>
            <w:left w:w="0" w:type="dxa"/>
            <w:bottom w:w="0" w:type="dxa"/>
            <w:right w:w="0" w:type="dxa"/>
          </w:tblCellMar>
        </w:tblPrEx>
        <w:tc>
          <w:tcPr>
            <w:tcW w:w="1833"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2AAD7EC2">
            <w:pPr>
              <w:pStyle w:val="17"/>
              <w:wordWrap w:val="0"/>
              <w:spacing w:beforeAutospacing="0" w:afterAutospacing="0" w:line="360" w:lineRule="auto"/>
              <w:jc w:val="center"/>
              <w:rPr>
                <w:color w:val="auto"/>
                <w:highlight w:val="none"/>
              </w:rPr>
            </w:pPr>
            <w:r>
              <w:rPr>
                <w:rFonts w:hint="eastAsia"/>
                <w:color w:val="auto"/>
                <w:highlight w:val="none"/>
              </w:rPr>
              <w:t>合同包</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F9A9D6">
            <w:pPr>
              <w:pStyle w:val="17"/>
              <w:wordWrap w:val="0"/>
              <w:spacing w:beforeAutospacing="0" w:afterAutospacing="0" w:line="360" w:lineRule="auto"/>
              <w:jc w:val="center"/>
              <w:rPr>
                <w:color w:val="auto"/>
                <w:highlight w:val="none"/>
              </w:rPr>
            </w:pPr>
            <w:r>
              <w:rPr>
                <w:rFonts w:hint="eastAsia"/>
                <w:color w:val="auto"/>
                <w:highlight w:val="none"/>
              </w:rPr>
              <w:t>商务条件</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156EE87E">
            <w:pPr>
              <w:pStyle w:val="17"/>
              <w:wordWrap w:val="0"/>
              <w:spacing w:beforeAutospacing="0" w:afterAutospacing="0" w:line="360" w:lineRule="auto"/>
              <w:jc w:val="center"/>
              <w:rPr>
                <w:color w:val="auto"/>
                <w:highlight w:val="none"/>
              </w:rPr>
            </w:pPr>
            <w:r>
              <w:rPr>
                <w:rFonts w:hint="eastAsia"/>
                <w:color w:val="auto"/>
                <w:highlight w:val="none"/>
              </w:rPr>
              <w:t>投标响应</w:t>
            </w: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74E0191">
            <w:pPr>
              <w:pStyle w:val="17"/>
              <w:wordWrap w:val="0"/>
              <w:spacing w:beforeAutospacing="0" w:afterAutospacing="0" w:line="360" w:lineRule="auto"/>
              <w:jc w:val="center"/>
              <w:rPr>
                <w:color w:val="auto"/>
                <w:highlight w:val="none"/>
              </w:rPr>
            </w:pPr>
            <w:r>
              <w:rPr>
                <w:rFonts w:hint="eastAsia"/>
                <w:color w:val="auto"/>
                <w:highlight w:val="none"/>
              </w:rPr>
              <w:t>是否偏离及说明</w:t>
            </w:r>
          </w:p>
        </w:tc>
      </w:tr>
      <w:tr w14:paraId="58217243">
        <w:tblPrEx>
          <w:tblCellMar>
            <w:top w:w="0" w:type="dxa"/>
            <w:left w:w="0" w:type="dxa"/>
            <w:bottom w:w="0" w:type="dxa"/>
            <w:right w:w="0" w:type="dxa"/>
          </w:tblCellMar>
        </w:tblPrEx>
        <w:tc>
          <w:tcPr>
            <w:tcW w:w="183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9B59F86">
            <w:pPr>
              <w:pStyle w:val="17"/>
              <w:wordWrap w:val="0"/>
              <w:spacing w:beforeAutospacing="0" w:afterAutospacing="0" w:line="360" w:lineRule="auto"/>
              <w:jc w:val="center"/>
              <w:rPr>
                <w:color w:val="auto"/>
                <w:highlight w:val="none"/>
              </w:rPr>
            </w:pPr>
            <w:r>
              <w:rPr>
                <w:rFonts w:hint="eastAsia"/>
                <w:color w:val="auto"/>
                <w:highlight w:val="none"/>
              </w:rPr>
              <w:t>*</w:t>
            </w: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42B56219">
            <w:pPr>
              <w:spacing w:line="360" w:lineRule="auto"/>
              <w:rPr>
                <w:rFonts w:ascii="宋体" w:hAnsi="宋体" w:cs="宋体"/>
                <w:color w:val="auto"/>
                <w:sz w:val="24"/>
                <w:highlight w:val="none"/>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C04B828">
            <w:pPr>
              <w:spacing w:line="360" w:lineRule="auto"/>
              <w:rPr>
                <w:rFonts w:ascii="宋体" w:hAnsi="宋体" w:cs="宋体"/>
                <w:color w:val="auto"/>
                <w:sz w:val="24"/>
                <w:highlight w:val="none"/>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555C3BA">
            <w:pPr>
              <w:spacing w:line="360" w:lineRule="auto"/>
              <w:rPr>
                <w:rFonts w:ascii="宋体" w:hAnsi="宋体" w:cs="宋体"/>
                <w:color w:val="auto"/>
                <w:sz w:val="24"/>
                <w:highlight w:val="none"/>
              </w:rPr>
            </w:pPr>
          </w:p>
        </w:tc>
      </w:tr>
      <w:tr w14:paraId="04A2B47C">
        <w:tblPrEx>
          <w:tblCellMar>
            <w:top w:w="0" w:type="dxa"/>
            <w:left w:w="0" w:type="dxa"/>
            <w:bottom w:w="0" w:type="dxa"/>
            <w:right w:w="0" w:type="dxa"/>
          </w:tblCellMar>
        </w:tblPrEx>
        <w:tc>
          <w:tcPr>
            <w:tcW w:w="18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6091FEB2">
            <w:pPr>
              <w:spacing w:line="360" w:lineRule="auto"/>
              <w:rPr>
                <w:rFonts w:ascii="宋体" w:hAnsi="宋体" w:cs="宋体"/>
                <w:color w:val="auto"/>
                <w:sz w:val="24"/>
                <w:highlight w:val="none"/>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A00757C">
            <w:pPr>
              <w:spacing w:line="360" w:lineRule="auto"/>
              <w:rPr>
                <w:rFonts w:ascii="宋体" w:hAnsi="宋体" w:cs="宋体"/>
                <w:color w:val="auto"/>
                <w:sz w:val="24"/>
                <w:highlight w:val="none"/>
              </w:rPr>
            </w:pPr>
          </w:p>
        </w:tc>
        <w:tc>
          <w:tcPr>
            <w:tcW w:w="2295"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55F329F6">
            <w:pPr>
              <w:spacing w:line="360" w:lineRule="auto"/>
              <w:rPr>
                <w:rFonts w:ascii="宋体" w:hAnsi="宋体" w:cs="宋体"/>
                <w:color w:val="auto"/>
                <w:sz w:val="24"/>
                <w:highlight w:val="none"/>
              </w:rPr>
            </w:pPr>
          </w:p>
        </w:tc>
        <w:tc>
          <w:tcPr>
            <w:tcW w:w="3679" w:type="dxa"/>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14:paraId="0EF7F1B1">
            <w:pPr>
              <w:spacing w:line="360" w:lineRule="auto"/>
              <w:rPr>
                <w:rFonts w:ascii="宋体" w:hAnsi="宋体" w:cs="宋体"/>
                <w:color w:val="auto"/>
                <w:sz w:val="24"/>
                <w:highlight w:val="none"/>
              </w:rPr>
            </w:pPr>
          </w:p>
        </w:tc>
      </w:tr>
    </w:tbl>
    <w:p w14:paraId="580F1F6E">
      <w:pPr>
        <w:pStyle w:val="17"/>
        <w:spacing w:beforeAutospacing="0" w:afterAutospacing="0" w:line="360" w:lineRule="auto"/>
        <w:ind w:right="376"/>
        <w:rPr>
          <w:color w:val="auto"/>
          <w:highlight w:val="none"/>
        </w:rPr>
      </w:pPr>
      <w:r>
        <w:rPr>
          <w:rFonts w:hint="eastAsia"/>
          <w:color w:val="auto"/>
          <w:highlight w:val="none"/>
        </w:rPr>
        <w:t>※注意：</w:t>
      </w:r>
    </w:p>
    <w:p w14:paraId="4CA3F01E">
      <w:pPr>
        <w:pStyle w:val="17"/>
        <w:spacing w:beforeAutospacing="0" w:afterAutospacing="0" w:line="360" w:lineRule="auto"/>
        <w:ind w:right="376"/>
        <w:rPr>
          <w:color w:val="auto"/>
          <w:highlight w:val="none"/>
        </w:rPr>
      </w:pPr>
      <w:r>
        <w:rPr>
          <w:rFonts w:hint="eastAsia"/>
          <w:color w:val="auto"/>
          <w:highlight w:val="none"/>
        </w:rPr>
        <w:t>1、本表应按照下列规定填写：</w:t>
      </w:r>
    </w:p>
    <w:p w14:paraId="4219F284">
      <w:pPr>
        <w:pStyle w:val="17"/>
        <w:spacing w:beforeAutospacing="0" w:afterAutospacing="0" w:line="360" w:lineRule="auto"/>
        <w:ind w:right="376"/>
        <w:rPr>
          <w:color w:val="auto"/>
          <w:highlight w:val="none"/>
        </w:rPr>
      </w:pPr>
      <w:r>
        <w:rPr>
          <w:rFonts w:hint="eastAsia"/>
          <w:color w:val="auto"/>
          <w:highlight w:val="none"/>
        </w:rPr>
        <w:t>1.1“商务条件”项下填写的内容应与招标文件第三章“三、商务条件”的内容保持一致。</w:t>
      </w:r>
    </w:p>
    <w:p w14:paraId="4305EFF2">
      <w:pPr>
        <w:pStyle w:val="17"/>
        <w:spacing w:beforeAutospacing="0" w:afterAutospacing="0" w:line="360" w:lineRule="auto"/>
        <w:ind w:right="376"/>
        <w:rPr>
          <w:color w:val="auto"/>
          <w:highlight w:val="none"/>
        </w:rPr>
      </w:pPr>
      <w:r>
        <w:rPr>
          <w:rFonts w:hint="eastAsia"/>
          <w:color w:val="auto"/>
          <w:highlight w:val="none"/>
        </w:rPr>
        <w:t>1.2“投标响应”项下应填写具体的响应内容并与“商务条件”项下填写的内容逐项对应。</w:t>
      </w:r>
    </w:p>
    <w:p w14:paraId="081E4DCC">
      <w:pPr>
        <w:pStyle w:val="17"/>
        <w:spacing w:beforeAutospacing="0" w:afterAutospacing="0" w:line="360" w:lineRule="auto"/>
        <w:ind w:right="376"/>
        <w:rPr>
          <w:color w:val="auto"/>
          <w:highlight w:val="none"/>
        </w:rPr>
      </w:pPr>
      <w:r>
        <w:rPr>
          <w:rFonts w:hint="eastAsia"/>
          <w:color w:val="auto"/>
          <w:highlight w:val="none"/>
        </w:rPr>
        <w:t>1.3“是否偏离及说明”项下应按下列规定填写：优于的，填写“正偏离”；符合的，填写“无偏离”；低于的，填写“负偏离”。</w:t>
      </w:r>
    </w:p>
    <w:p w14:paraId="11A1E966">
      <w:pPr>
        <w:pStyle w:val="17"/>
        <w:spacing w:beforeAutospacing="0" w:afterAutospacing="0" w:line="360" w:lineRule="auto"/>
        <w:ind w:right="376"/>
        <w:rPr>
          <w:color w:val="auto"/>
          <w:highlight w:val="none"/>
        </w:rPr>
      </w:pPr>
      <w:r>
        <w:rPr>
          <w:rFonts w:hint="eastAsia"/>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4EECCE4">
      <w:pPr>
        <w:pStyle w:val="17"/>
        <w:spacing w:beforeAutospacing="0" w:afterAutospacing="0" w:line="360" w:lineRule="auto"/>
        <w:ind w:left="376" w:right="376" w:firstLine="420"/>
        <w:jc w:val="right"/>
        <w:rPr>
          <w:color w:val="auto"/>
          <w:highlight w:val="none"/>
        </w:rPr>
      </w:pPr>
      <w:r>
        <w:rPr>
          <w:rFonts w:hint="eastAsia"/>
          <w:color w:val="auto"/>
          <w:highlight w:val="none"/>
        </w:rPr>
        <w:t>投标人：</w:t>
      </w:r>
      <w:r>
        <w:rPr>
          <w:rFonts w:hint="eastAsia"/>
          <w:color w:val="auto"/>
          <w:highlight w:val="none"/>
          <w:u w:val="single"/>
        </w:rPr>
        <w:t>（全称并加盖单位公章）</w:t>
      </w:r>
    </w:p>
    <w:p w14:paraId="5A13D439">
      <w:pPr>
        <w:pStyle w:val="17"/>
        <w:spacing w:beforeAutospacing="0" w:afterAutospacing="0" w:line="360" w:lineRule="auto"/>
        <w:ind w:left="376" w:right="376" w:firstLine="420"/>
        <w:jc w:val="right"/>
        <w:rPr>
          <w:color w:val="auto"/>
          <w:highlight w:val="none"/>
        </w:rPr>
      </w:pPr>
      <w:r>
        <w:rPr>
          <w:rFonts w:hint="eastAsia"/>
          <w:color w:val="auto"/>
          <w:highlight w:val="none"/>
        </w:rPr>
        <w:t>日期：</w:t>
      </w:r>
      <w:r>
        <w:rPr>
          <w:rFonts w:hint="eastAsia"/>
          <w:color w:val="auto"/>
          <w:highlight w:val="none"/>
          <w:u w:val="single"/>
        </w:rPr>
        <w:t>　　年　　月　　日</w:t>
      </w:r>
    </w:p>
    <w:p w14:paraId="3C7652EE">
      <w:pPr>
        <w:pStyle w:val="17"/>
        <w:rPr>
          <w:color w:val="auto"/>
          <w:highlight w:val="none"/>
        </w:rPr>
      </w:pPr>
    </w:p>
    <w:p w14:paraId="19007573">
      <w:pPr>
        <w:spacing w:line="380" w:lineRule="exact"/>
        <w:jc w:val="center"/>
        <w:rPr>
          <w:rFonts w:ascii="宋体" w:hAnsi="宋体"/>
          <w:b/>
          <w:bCs/>
          <w:color w:val="auto"/>
          <w:sz w:val="28"/>
          <w:szCs w:val="28"/>
          <w:highlight w:val="none"/>
        </w:rPr>
      </w:pPr>
    </w:p>
    <w:p w14:paraId="24A2CB4E">
      <w:pPr>
        <w:spacing w:line="380" w:lineRule="exact"/>
        <w:jc w:val="center"/>
        <w:rPr>
          <w:rFonts w:ascii="宋体" w:hAnsi="宋体"/>
          <w:b/>
          <w:bCs/>
          <w:color w:val="auto"/>
          <w:sz w:val="28"/>
          <w:szCs w:val="28"/>
          <w:highlight w:val="none"/>
        </w:rPr>
      </w:pPr>
    </w:p>
    <w:p w14:paraId="2C3B302D">
      <w:pPr>
        <w:spacing w:line="380" w:lineRule="exact"/>
        <w:jc w:val="center"/>
        <w:rPr>
          <w:rFonts w:ascii="宋体" w:hAnsi="宋体"/>
          <w:b/>
          <w:bCs/>
          <w:color w:val="auto"/>
          <w:sz w:val="28"/>
          <w:szCs w:val="28"/>
          <w:highlight w:val="none"/>
        </w:rPr>
      </w:pPr>
    </w:p>
    <w:p w14:paraId="4CA41B4A">
      <w:pPr>
        <w:spacing w:line="380" w:lineRule="exact"/>
        <w:jc w:val="center"/>
        <w:rPr>
          <w:rFonts w:ascii="宋体" w:hAnsi="宋体"/>
          <w:b/>
          <w:bCs/>
          <w:color w:val="auto"/>
          <w:sz w:val="28"/>
          <w:szCs w:val="28"/>
          <w:highlight w:val="none"/>
        </w:rPr>
      </w:pPr>
    </w:p>
    <w:p w14:paraId="3F599E5D">
      <w:pPr>
        <w:spacing w:line="380" w:lineRule="exact"/>
        <w:jc w:val="center"/>
        <w:rPr>
          <w:rFonts w:ascii="宋体" w:hAnsi="宋体"/>
          <w:b/>
          <w:bCs/>
          <w:color w:val="auto"/>
          <w:sz w:val="28"/>
          <w:szCs w:val="28"/>
          <w:highlight w:val="none"/>
        </w:rPr>
      </w:pPr>
    </w:p>
    <w:p w14:paraId="30710D89">
      <w:pPr>
        <w:spacing w:line="380" w:lineRule="exact"/>
        <w:jc w:val="center"/>
        <w:rPr>
          <w:rFonts w:ascii="宋体" w:hAnsi="宋体"/>
          <w:b/>
          <w:bCs/>
          <w:color w:val="auto"/>
          <w:sz w:val="28"/>
          <w:szCs w:val="28"/>
          <w:highlight w:val="none"/>
        </w:rPr>
      </w:pPr>
    </w:p>
    <w:p w14:paraId="754CDEC9">
      <w:pPr>
        <w:spacing w:line="380" w:lineRule="exact"/>
        <w:jc w:val="center"/>
        <w:rPr>
          <w:rFonts w:ascii="宋体" w:hAnsi="宋体"/>
          <w:b/>
          <w:bCs/>
          <w:color w:val="auto"/>
          <w:sz w:val="28"/>
          <w:szCs w:val="28"/>
          <w:highlight w:val="none"/>
        </w:rPr>
      </w:pPr>
    </w:p>
    <w:p w14:paraId="6B05A9B8">
      <w:pPr>
        <w:pStyle w:val="7"/>
        <w:rPr>
          <w:rFonts w:ascii="宋体" w:hAnsi="宋体"/>
          <w:b/>
          <w:bCs/>
          <w:color w:val="auto"/>
          <w:sz w:val="28"/>
          <w:szCs w:val="28"/>
          <w:highlight w:val="none"/>
        </w:rPr>
      </w:pPr>
    </w:p>
    <w:p w14:paraId="2A722861">
      <w:pPr>
        <w:rPr>
          <w:rFonts w:ascii="宋体" w:hAnsi="宋体"/>
          <w:b/>
          <w:bCs/>
          <w:color w:val="auto"/>
          <w:sz w:val="28"/>
          <w:szCs w:val="28"/>
          <w:highlight w:val="none"/>
        </w:rPr>
      </w:pPr>
    </w:p>
    <w:p w14:paraId="3C7CCBE3">
      <w:pPr>
        <w:rPr>
          <w:rFonts w:ascii="宋体" w:hAnsi="宋体"/>
          <w:b/>
          <w:bCs/>
          <w:color w:val="auto"/>
          <w:sz w:val="28"/>
          <w:szCs w:val="28"/>
          <w:highlight w:val="none"/>
        </w:rPr>
      </w:pPr>
    </w:p>
    <w:p w14:paraId="33EE1250">
      <w:pPr>
        <w:rPr>
          <w:rFonts w:ascii="宋体" w:hAnsi="宋体"/>
          <w:b/>
          <w:bCs/>
          <w:color w:val="auto"/>
          <w:sz w:val="28"/>
          <w:szCs w:val="28"/>
          <w:highlight w:val="none"/>
        </w:rPr>
      </w:pPr>
    </w:p>
    <w:p w14:paraId="336490C8">
      <w:pPr>
        <w:pStyle w:val="7"/>
        <w:rPr>
          <w:rFonts w:ascii="宋体" w:hAnsi="宋体"/>
          <w:b/>
          <w:bCs/>
          <w:color w:val="auto"/>
          <w:sz w:val="28"/>
          <w:szCs w:val="28"/>
          <w:highlight w:val="none"/>
        </w:rPr>
      </w:pPr>
    </w:p>
    <w:p w14:paraId="1A950548">
      <w:pPr>
        <w:rPr>
          <w:rFonts w:ascii="宋体" w:hAnsi="宋体"/>
          <w:b/>
          <w:bCs/>
          <w:color w:val="auto"/>
          <w:sz w:val="28"/>
          <w:szCs w:val="28"/>
          <w:highlight w:val="none"/>
        </w:rPr>
      </w:pPr>
    </w:p>
    <w:p w14:paraId="5F161778">
      <w:pPr>
        <w:pStyle w:val="17"/>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360" w:leftChars="0" w:hanging="360" w:firstLineChars="0"/>
        <w:jc w:val="center"/>
        <w:textAlignment w:val="auto"/>
        <w:rPr>
          <w:rStyle w:val="23"/>
          <w:rFonts w:hint="eastAsia"/>
          <w:color w:val="auto"/>
          <w:sz w:val="30"/>
          <w:szCs w:val="30"/>
          <w:highlight w:val="none"/>
        </w:rPr>
      </w:pPr>
      <w:r>
        <w:rPr>
          <w:rFonts w:hint="default" w:ascii="宋体" w:hAnsi="宋体" w:eastAsia="宋体" w:cs="宋体"/>
          <w:b/>
          <w:color w:val="auto"/>
          <w:kern w:val="0"/>
          <w:sz w:val="30"/>
          <w:szCs w:val="30"/>
          <w:lang w:val="en-US" w:eastAsia="zh-CN" w:bidi="ar-SA"/>
        </w:rPr>
        <w:t>4、</w:t>
      </w:r>
      <w:r>
        <w:rPr>
          <w:rStyle w:val="23"/>
          <w:rFonts w:hint="eastAsia"/>
          <w:color w:val="auto"/>
          <w:sz w:val="30"/>
          <w:szCs w:val="30"/>
          <w:highlight w:val="none"/>
        </w:rPr>
        <w:t>投标人认为应提交的其他资料</w:t>
      </w:r>
    </w:p>
    <w:p w14:paraId="02A217C1">
      <w:pPr>
        <w:rPr>
          <w:rFonts w:hint="eastAsia"/>
          <w:color w:val="auto"/>
          <w:lang w:eastAsia="zh-CN"/>
        </w:rPr>
      </w:pPr>
    </w:p>
    <w:p w14:paraId="39409F40">
      <w:pPr>
        <w:rPr>
          <w:color w:val="auto"/>
        </w:rPr>
      </w:pPr>
    </w:p>
    <w:p w14:paraId="7E6503CF">
      <w:pPr>
        <w:pStyle w:val="8"/>
        <w:spacing w:line="1200" w:lineRule="exact"/>
        <w:ind w:firstLine="0"/>
        <w:jc w:val="right"/>
        <w:rPr>
          <w:rFonts w:hint="eastAsia"/>
          <w:b/>
          <w:bCs/>
          <w:color w:val="auto"/>
          <w:sz w:val="52"/>
          <w:szCs w:val="52"/>
          <w:highlight w:val="none"/>
        </w:rPr>
      </w:pPr>
    </w:p>
    <w:p w14:paraId="18F1859E">
      <w:pPr>
        <w:pStyle w:val="8"/>
        <w:spacing w:line="1200" w:lineRule="exact"/>
        <w:ind w:firstLine="0"/>
        <w:jc w:val="right"/>
        <w:rPr>
          <w:rFonts w:hint="eastAsia"/>
          <w:b/>
          <w:bCs/>
          <w:color w:val="auto"/>
          <w:sz w:val="52"/>
          <w:szCs w:val="52"/>
          <w:highlight w:val="none"/>
        </w:rPr>
      </w:pPr>
    </w:p>
    <w:p w14:paraId="71ED7F31">
      <w:pPr>
        <w:pStyle w:val="8"/>
        <w:spacing w:line="1200" w:lineRule="exact"/>
        <w:ind w:firstLine="0"/>
        <w:jc w:val="right"/>
        <w:rPr>
          <w:rFonts w:hint="eastAsia"/>
          <w:b/>
          <w:bCs/>
          <w:color w:val="auto"/>
          <w:sz w:val="52"/>
          <w:szCs w:val="52"/>
          <w:highlight w:val="none"/>
        </w:rPr>
      </w:pPr>
    </w:p>
    <w:p w14:paraId="55F5215A">
      <w:pPr>
        <w:pStyle w:val="8"/>
        <w:spacing w:line="1200" w:lineRule="exact"/>
        <w:ind w:firstLine="0"/>
        <w:jc w:val="right"/>
        <w:rPr>
          <w:rFonts w:hint="eastAsia"/>
          <w:b/>
          <w:bCs/>
          <w:color w:val="auto"/>
          <w:sz w:val="52"/>
          <w:szCs w:val="52"/>
          <w:highlight w:val="none"/>
        </w:rPr>
      </w:pPr>
    </w:p>
    <w:p w14:paraId="5A8CEAA4">
      <w:pPr>
        <w:pStyle w:val="8"/>
        <w:spacing w:line="1200" w:lineRule="exact"/>
        <w:ind w:firstLine="0"/>
        <w:jc w:val="right"/>
        <w:rPr>
          <w:rFonts w:hint="eastAsia"/>
          <w:b/>
          <w:bCs/>
          <w:color w:val="auto"/>
          <w:sz w:val="52"/>
          <w:szCs w:val="52"/>
          <w:highlight w:val="none"/>
        </w:rPr>
      </w:pPr>
    </w:p>
    <w:p w14:paraId="7F4E4E73">
      <w:pPr>
        <w:pStyle w:val="8"/>
        <w:spacing w:line="1200" w:lineRule="exact"/>
        <w:ind w:firstLine="0"/>
        <w:jc w:val="right"/>
        <w:rPr>
          <w:rFonts w:hint="eastAsia"/>
          <w:b/>
          <w:bCs/>
          <w:color w:val="auto"/>
          <w:sz w:val="52"/>
          <w:szCs w:val="52"/>
          <w:highlight w:val="none"/>
        </w:rPr>
      </w:pPr>
    </w:p>
    <w:p w14:paraId="55DCF58C">
      <w:pPr>
        <w:pStyle w:val="8"/>
        <w:spacing w:line="1200" w:lineRule="exact"/>
        <w:ind w:firstLine="0"/>
        <w:jc w:val="right"/>
        <w:rPr>
          <w:rFonts w:hint="eastAsia"/>
          <w:b/>
          <w:bCs/>
          <w:color w:val="auto"/>
          <w:sz w:val="52"/>
          <w:szCs w:val="52"/>
          <w:highlight w:val="none"/>
        </w:rPr>
      </w:pPr>
    </w:p>
    <w:p w14:paraId="2E78D741">
      <w:pPr>
        <w:pStyle w:val="8"/>
        <w:spacing w:line="1200" w:lineRule="exact"/>
        <w:ind w:firstLine="0"/>
        <w:jc w:val="right"/>
        <w:rPr>
          <w:rFonts w:hint="eastAsia"/>
          <w:b/>
          <w:bCs/>
          <w:color w:val="auto"/>
          <w:sz w:val="52"/>
          <w:szCs w:val="52"/>
          <w:highlight w:val="none"/>
        </w:rPr>
      </w:pPr>
    </w:p>
    <w:p w14:paraId="22486495">
      <w:pPr>
        <w:pStyle w:val="8"/>
        <w:spacing w:line="1200" w:lineRule="exact"/>
        <w:ind w:firstLine="0"/>
        <w:jc w:val="right"/>
        <w:rPr>
          <w:rFonts w:hint="eastAsia"/>
          <w:b/>
          <w:bCs/>
          <w:color w:val="auto"/>
          <w:sz w:val="52"/>
          <w:szCs w:val="52"/>
          <w:highlight w:val="none"/>
        </w:rPr>
      </w:pPr>
    </w:p>
    <w:p w14:paraId="590F311D">
      <w:pPr>
        <w:pStyle w:val="8"/>
        <w:spacing w:line="1200" w:lineRule="exact"/>
        <w:ind w:firstLine="0"/>
        <w:jc w:val="right"/>
        <w:rPr>
          <w:rFonts w:hint="eastAsia"/>
          <w:b/>
          <w:bCs/>
          <w:color w:val="auto"/>
          <w:sz w:val="52"/>
          <w:szCs w:val="52"/>
          <w:highlight w:val="none"/>
        </w:rPr>
      </w:pPr>
    </w:p>
    <w:p w14:paraId="2160BBC4">
      <w:pPr>
        <w:pStyle w:val="8"/>
        <w:spacing w:line="1200" w:lineRule="exact"/>
        <w:ind w:firstLine="0"/>
        <w:jc w:val="right"/>
        <w:rPr>
          <w:rFonts w:hint="eastAsia"/>
          <w:b/>
          <w:bCs/>
          <w:color w:val="auto"/>
          <w:sz w:val="52"/>
          <w:szCs w:val="52"/>
          <w:highlight w:val="none"/>
        </w:rPr>
      </w:pPr>
    </w:p>
    <w:p w14:paraId="02F23EA8">
      <w:pPr>
        <w:pStyle w:val="8"/>
        <w:spacing w:line="1200" w:lineRule="exact"/>
        <w:ind w:firstLine="0"/>
        <w:jc w:val="right"/>
        <w:rPr>
          <w:b/>
          <w:bCs/>
          <w:color w:val="auto"/>
          <w:sz w:val="52"/>
          <w:szCs w:val="52"/>
          <w:highlight w:val="none"/>
        </w:rPr>
      </w:pPr>
      <w:r>
        <w:rPr>
          <w:rFonts w:hint="eastAsia"/>
          <w:b/>
          <w:bCs/>
          <w:color w:val="auto"/>
          <w:sz w:val="52"/>
          <w:szCs w:val="52"/>
          <w:highlight w:val="none"/>
        </w:rPr>
        <w:t>正本/副本</w:t>
      </w:r>
    </w:p>
    <w:p w14:paraId="69824B89">
      <w:pPr>
        <w:pStyle w:val="8"/>
        <w:spacing w:line="1200" w:lineRule="exact"/>
        <w:ind w:firstLine="0"/>
        <w:jc w:val="right"/>
        <w:rPr>
          <w:b/>
          <w:bCs/>
          <w:color w:val="auto"/>
          <w:sz w:val="52"/>
          <w:szCs w:val="52"/>
          <w:highlight w:val="none"/>
        </w:rPr>
      </w:pPr>
    </w:p>
    <w:p w14:paraId="3FCC8086">
      <w:pPr>
        <w:pStyle w:val="8"/>
        <w:spacing w:line="1200" w:lineRule="exact"/>
        <w:ind w:firstLine="0"/>
        <w:jc w:val="center"/>
        <w:rPr>
          <w:b/>
          <w:bCs/>
          <w:color w:val="auto"/>
          <w:sz w:val="84"/>
          <w:szCs w:val="84"/>
          <w:highlight w:val="none"/>
        </w:rPr>
      </w:pPr>
      <w:r>
        <w:rPr>
          <w:rFonts w:hint="eastAsia"/>
          <w:b/>
          <w:bCs/>
          <w:color w:val="auto"/>
          <w:sz w:val="84"/>
          <w:szCs w:val="84"/>
          <w:highlight w:val="none"/>
        </w:rPr>
        <w:t>投  标  文  件</w:t>
      </w:r>
    </w:p>
    <w:p w14:paraId="6A20C7A0">
      <w:pPr>
        <w:pStyle w:val="8"/>
        <w:spacing w:line="1200" w:lineRule="exact"/>
        <w:ind w:firstLine="0"/>
        <w:jc w:val="center"/>
        <w:rPr>
          <w:b/>
          <w:bCs/>
          <w:color w:val="auto"/>
          <w:sz w:val="84"/>
          <w:szCs w:val="84"/>
          <w:highlight w:val="none"/>
        </w:rPr>
      </w:pPr>
      <w:r>
        <w:rPr>
          <w:rFonts w:hint="eastAsia"/>
          <w:b/>
          <w:bCs/>
          <w:color w:val="auto"/>
          <w:sz w:val="84"/>
          <w:szCs w:val="84"/>
          <w:highlight w:val="none"/>
        </w:rPr>
        <w:t>第二册  报价部分</w:t>
      </w:r>
    </w:p>
    <w:p w14:paraId="001DE699">
      <w:pPr>
        <w:pStyle w:val="8"/>
        <w:ind w:firstLine="0"/>
        <w:jc w:val="center"/>
        <w:rPr>
          <w:color w:val="auto"/>
          <w:highlight w:val="none"/>
        </w:rPr>
      </w:pPr>
    </w:p>
    <w:p w14:paraId="58CA09ED">
      <w:pPr>
        <w:pStyle w:val="8"/>
        <w:ind w:firstLine="0"/>
        <w:jc w:val="center"/>
        <w:rPr>
          <w:color w:val="auto"/>
          <w:highlight w:val="none"/>
        </w:rPr>
      </w:pPr>
    </w:p>
    <w:p w14:paraId="73866A39">
      <w:pPr>
        <w:pStyle w:val="10"/>
        <w:spacing w:line="360" w:lineRule="auto"/>
        <w:ind w:firstLine="1428" w:firstLineChars="395"/>
        <w:rPr>
          <w:rFonts w:hAnsi="宋体"/>
          <w:b/>
          <w:color w:val="auto"/>
          <w:sz w:val="36"/>
          <w:szCs w:val="36"/>
          <w:highlight w:val="none"/>
          <w:u w:val="single"/>
        </w:rPr>
      </w:pPr>
      <w:r>
        <w:rPr>
          <w:rFonts w:hint="eastAsia" w:hAnsi="宋体"/>
          <w:b/>
          <w:bCs/>
          <w:color w:val="auto"/>
          <w:sz w:val="36"/>
          <w:szCs w:val="36"/>
          <w:highlight w:val="none"/>
          <w:lang w:eastAsia="zh-CN"/>
        </w:rPr>
        <w:t>项目编号</w:t>
      </w:r>
      <w:r>
        <w:rPr>
          <w:rFonts w:hint="eastAsia" w:hAnsi="宋体"/>
          <w:b/>
          <w:bCs/>
          <w:color w:val="auto"/>
          <w:sz w:val="36"/>
          <w:szCs w:val="36"/>
          <w:highlight w:val="none"/>
        </w:rPr>
        <w:t>：</w:t>
      </w:r>
    </w:p>
    <w:p w14:paraId="7581800F">
      <w:pPr>
        <w:spacing w:line="360" w:lineRule="auto"/>
        <w:ind w:firstLine="1435" w:firstLineChars="397"/>
        <w:rPr>
          <w:rFonts w:ascii="宋体" w:hAnsi="宋体"/>
          <w:b/>
          <w:color w:val="auto"/>
          <w:sz w:val="36"/>
          <w:szCs w:val="36"/>
          <w:highlight w:val="none"/>
          <w:u w:val="single"/>
        </w:rPr>
      </w:pPr>
      <w:r>
        <w:rPr>
          <w:rFonts w:hint="eastAsia" w:ascii="宋体" w:hAnsi="宋体"/>
          <w:b/>
          <w:bCs/>
          <w:color w:val="auto"/>
          <w:sz w:val="36"/>
          <w:szCs w:val="36"/>
          <w:highlight w:val="none"/>
        </w:rPr>
        <w:t>项目名称</w:t>
      </w:r>
      <w:r>
        <w:rPr>
          <w:rFonts w:hint="eastAsia" w:ascii="宋体" w:hAnsi="宋体"/>
          <w:b/>
          <w:bCs/>
          <w:color w:val="auto"/>
          <w:sz w:val="36"/>
          <w:szCs w:val="36"/>
          <w:highlight w:val="none"/>
          <w:u w:val="none"/>
        </w:rPr>
        <w:t>：</w:t>
      </w:r>
    </w:p>
    <w:p w14:paraId="02D662EC">
      <w:pPr>
        <w:pStyle w:val="10"/>
        <w:spacing w:line="360" w:lineRule="auto"/>
        <w:ind w:firstLine="1428" w:firstLineChars="395"/>
        <w:rPr>
          <w:rFonts w:hAnsi="宋体"/>
          <w:b/>
          <w:color w:val="auto"/>
          <w:sz w:val="36"/>
          <w:szCs w:val="36"/>
          <w:highlight w:val="none"/>
        </w:rPr>
      </w:pPr>
      <w:r>
        <w:rPr>
          <w:rFonts w:hint="eastAsia" w:hAnsi="宋体"/>
          <w:b/>
          <w:color w:val="auto"/>
          <w:sz w:val="36"/>
          <w:szCs w:val="36"/>
          <w:highlight w:val="none"/>
        </w:rPr>
        <w:t>合 同 包：</w:t>
      </w:r>
    </w:p>
    <w:p w14:paraId="3F82DC4C">
      <w:pPr>
        <w:pStyle w:val="10"/>
        <w:spacing w:line="360" w:lineRule="auto"/>
        <w:jc w:val="center"/>
        <w:rPr>
          <w:rFonts w:hAnsi="宋体"/>
          <w:b/>
          <w:color w:val="auto"/>
          <w:sz w:val="36"/>
          <w:szCs w:val="36"/>
          <w:highlight w:val="none"/>
        </w:rPr>
      </w:pPr>
    </w:p>
    <w:p w14:paraId="44BA3276">
      <w:pPr>
        <w:pStyle w:val="10"/>
        <w:spacing w:line="360" w:lineRule="auto"/>
        <w:jc w:val="center"/>
        <w:rPr>
          <w:rFonts w:hAnsi="宋体"/>
          <w:b/>
          <w:color w:val="auto"/>
          <w:sz w:val="36"/>
          <w:szCs w:val="36"/>
          <w:highlight w:val="none"/>
        </w:rPr>
      </w:pPr>
    </w:p>
    <w:p w14:paraId="151F6C03">
      <w:pPr>
        <w:pStyle w:val="10"/>
        <w:spacing w:line="360" w:lineRule="auto"/>
        <w:jc w:val="center"/>
        <w:rPr>
          <w:rFonts w:hAnsi="宋体"/>
          <w:b/>
          <w:color w:val="auto"/>
          <w:sz w:val="36"/>
          <w:szCs w:val="36"/>
          <w:highlight w:val="none"/>
        </w:rPr>
      </w:pPr>
    </w:p>
    <w:p w14:paraId="5D4FCEA7">
      <w:pPr>
        <w:pStyle w:val="10"/>
        <w:tabs>
          <w:tab w:val="left" w:pos="1620"/>
        </w:tabs>
        <w:spacing w:line="360" w:lineRule="auto"/>
        <w:ind w:firstLine="1397" w:firstLineChars="348"/>
        <w:rPr>
          <w:rFonts w:hAnsi="宋体"/>
          <w:b/>
          <w:color w:val="auto"/>
          <w:sz w:val="36"/>
          <w:szCs w:val="36"/>
          <w:highlight w:val="none"/>
          <w:u w:val="single"/>
        </w:rPr>
      </w:pPr>
      <w:r>
        <w:rPr>
          <w:rFonts w:hint="eastAsia" w:hAnsi="宋体"/>
          <w:b/>
          <w:color w:val="auto"/>
          <w:spacing w:val="20"/>
          <w:sz w:val="36"/>
          <w:szCs w:val="36"/>
          <w:highlight w:val="none"/>
        </w:rPr>
        <w:t>投标人名称（</w:t>
      </w:r>
      <w:r>
        <w:rPr>
          <w:rFonts w:hint="eastAsia" w:hAnsi="宋体"/>
          <w:b/>
          <w:color w:val="auto"/>
          <w:spacing w:val="20"/>
          <w:sz w:val="36"/>
          <w:szCs w:val="36"/>
          <w:highlight w:val="none"/>
          <w:lang w:eastAsia="zh-CN"/>
        </w:rPr>
        <w:t>加</w:t>
      </w:r>
      <w:r>
        <w:rPr>
          <w:rFonts w:hint="eastAsia" w:hAnsi="宋体"/>
          <w:b/>
          <w:color w:val="auto"/>
          <w:spacing w:val="20"/>
          <w:sz w:val="36"/>
          <w:szCs w:val="36"/>
          <w:highlight w:val="none"/>
        </w:rPr>
        <w:t>盖公章）</w:t>
      </w:r>
      <w:r>
        <w:rPr>
          <w:rFonts w:hint="eastAsia" w:hAnsi="宋体"/>
          <w:b/>
          <w:bCs/>
          <w:color w:val="auto"/>
          <w:sz w:val="36"/>
          <w:szCs w:val="36"/>
          <w:highlight w:val="none"/>
        </w:rPr>
        <w:t>：</w:t>
      </w:r>
    </w:p>
    <w:p w14:paraId="446B0BBD">
      <w:pPr>
        <w:pStyle w:val="10"/>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联系电话：</w:t>
      </w:r>
    </w:p>
    <w:p w14:paraId="3075E2F2">
      <w:pPr>
        <w:pStyle w:val="10"/>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投标人代表（签字）：</w:t>
      </w:r>
    </w:p>
    <w:p w14:paraId="6A85BE26">
      <w:pPr>
        <w:pStyle w:val="10"/>
        <w:tabs>
          <w:tab w:val="left" w:pos="1620"/>
        </w:tabs>
        <w:spacing w:line="360" w:lineRule="auto"/>
        <w:ind w:firstLine="1438" w:firstLineChars="398"/>
        <w:rPr>
          <w:rFonts w:hAnsi="宋体"/>
          <w:b/>
          <w:bCs/>
          <w:color w:val="auto"/>
          <w:sz w:val="36"/>
          <w:szCs w:val="36"/>
          <w:highlight w:val="none"/>
        </w:rPr>
      </w:pPr>
      <w:r>
        <w:rPr>
          <w:rFonts w:hint="eastAsia" w:hAnsi="宋体"/>
          <w:b/>
          <w:bCs/>
          <w:color w:val="auto"/>
          <w:sz w:val="36"/>
          <w:szCs w:val="36"/>
          <w:highlight w:val="none"/>
        </w:rPr>
        <w:t>联系地址：</w:t>
      </w:r>
    </w:p>
    <w:p w14:paraId="69755925">
      <w:pPr>
        <w:pStyle w:val="10"/>
        <w:tabs>
          <w:tab w:val="left" w:pos="1620"/>
        </w:tabs>
        <w:spacing w:line="360" w:lineRule="auto"/>
        <w:ind w:firstLine="1428" w:firstLineChars="395"/>
        <w:rPr>
          <w:rFonts w:hAnsi="宋体"/>
          <w:b/>
          <w:color w:val="auto"/>
          <w:sz w:val="36"/>
          <w:szCs w:val="36"/>
          <w:highlight w:val="none"/>
          <w:u w:val="single"/>
        </w:rPr>
      </w:pPr>
      <w:r>
        <w:rPr>
          <w:rFonts w:hint="eastAsia" w:hAnsi="宋体"/>
          <w:b/>
          <w:color w:val="auto"/>
          <w:sz w:val="36"/>
          <w:szCs w:val="36"/>
          <w:highlight w:val="none"/>
        </w:rPr>
        <w:t>日   期：</w:t>
      </w:r>
      <w:r>
        <w:rPr>
          <w:rFonts w:hint="eastAsia" w:hAnsi="宋体"/>
          <w:b/>
          <w:color w:val="auto"/>
          <w:sz w:val="36"/>
          <w:szCs w:val="36"/>
          <w:highlight w:val="none"/>
          <w:u w:val="single"/>
        </w:rPr>
        <w:t xml:space="preserve">    年   月    日</w:t>
      </w:r>
    </w:p>
    <w:p w14:paraId="4B10BFBE">
      <w:pPr>
        <w:pStyle w:val="5"/>
        <w:snapToGrid w:val="0"/>
        <w:spacing w:line="420" w:lineRule="atLeast"/>
        <w:ind w:left="-2" w:leftChars="-1" w:firstLine="0" w:firstLineChars="0"/>
        <w:jc w:val="center"/>
        <w:rPr>
          <w:rFonts w:ascii="宋体" w:hAnsi="宋体"/>
          <w:b/>
          <w:color w:val="auto"/>
          <w:sz w:val="44"/>
          <w:szCs w:val="44"/>
          <w:highlight w:val="none"/>
        </w:rPr>
      </w:pPr>
    </w:p>
    <w:p w14:paraId="6EDA3E44">
      <w:pPr>
        <w:pStyle w:val="8"/>
        <w:spacing w:line="360" w:lineRule="auto"/>
        <w:ind w:firstLine="0"/>
        <w:jc w:val="center"/>
        <w:rPr>
          <w:b/>
          <w:bCs/>
          <w:color w:val="auto"/>
          <w:sz w:val="32"/>
          <w:szCs w:val="32"/>
          <w:highlight w:val="none"/>
        </w:rPr>
      </w:pPr>
      <w:r>
        <w:rPr>
          <w:rFonts w:hint="eastAsia"/>
          <w:b/>
          <w:bCs/>
          <w:color w:val="auto"/>
          <w:sz w:val="32"/>
          <w:szCs w:val="32"/>
          <w:highlight w:val="none"/>
        </w:rPr>
        <w:t>第二册 报价部分</w:t>
      </w:r>
    </w:p>
    <w:p w14:paraId="53F4636D">
      <w:pPr>
        <w:pStyle w:val="5"/>
        <w:snapToGrid w:val="0"/>
        <w:spacing w:line="420" w:lineRule="atLeast"/>
        <w:ind w:left="-2" w:leftChars="-1" w:firstLine="0" w:firstLineChars="0"/>
        <w:jc w:val="center"/>
        <w:rPr>
          <w:rFonts w:ascii="宋体" w:hAnsi="宋体"/>
          <w:b/>
          <w:color w:val="auto"/>
          <w:sz w:val="44"/>
          <w:szCs w:val="44"/>
          <w:highlight w:val="none"/>
        </w:rPr>
      </w:pPr>
    </w:p>
    <w:p w14:paraId="301B0613">
      <w:pPr>
        <w:pStyle w:val="5"/>
        <w:snapToGrid w:val="0"/>
        <w:spacing w:line="420" w:lineRule="atLeast"/>
        <w:ind w:left="-2" w:leftChars="-1" w:firstLine="0" w:firstLineChars="0"/>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14:paraId="101F6830">
      <w:pPr>
        <w:spacing w:line="400" w:lineRule="exact"/>
        <w:rPr>
          <w:rFonts w:ascii="宋体" w:hAnsi="宋体"/>
          <w:color w:val="auto"/>
          <w:szCs w:val="21"/>
          <w:highlight w:val="none"/>
        </w:rPr>
      </w:pPr>
    </w:p>
    <w:p w14:paraId="3E33482F">
      <w:pPr>
        <w:spacing w:line="400" w:lineRule="exact"/>
        <w:rPr>
          <w:rFonts w:ascii="宋体" w:hAnsi="宋体"/>
          <w:color w:val="auto"/>
          <w:szCs w:val="21"/>
          <w:highlight w:val="none"/>
        </w:rPr>
      </w:pPr>
    </w:p>
    <w:p w14:paraId="7DF4E663">
      <w:pPr>
        <w:numPr>
          <w:ilvl w:val="0"/>
          <w:numId w:val="0"/>
        </w:numPr>
        <w:spacing w:line="360" w:lineRule="auto"/>
        <w:rPr>
          <w:rFonts w:ascii="宋体" w:hAnsi="宋体"/>
          <w:color w:val="auto"/>
          <w:sz w:val="24"/>
          <w:highlight w:val="none"/>
        </w:rPr>
      </w:pPr>
      <w:r>
        <w:rPr>
          <w:rFonts w:ascii="宋体" w:hAnsi="宋体" w:eastAsia="宋体" w:cs="Times New Roman"/>
          <w:color w:val="auto"/>
          <w:kern w:val="2"/>
          <w:sz w:val="24"/>
          <w:szCs w:val="24"/>
          <w:highlight w:val="none"/>
          <w:lang w:val="en-US" w:eastAsia="zh-CN" w:bidi="ar-SA"/>
        </w:rPr>
        <w:t>1.</w:t>
      </w:r>
      <w:r>
        <w:rPr>
          <w:rFonts w:hint="eastAsia" w:ascii="宋体" w:hAnsi="宋体"/>
          <w:color w:val="auto"/>
          <w:sz w:val="24"/>
          <w:highlight w:val="none"/>
        </w:rPr>
        <w:t>开标一览表</w:t>
      </w:r>
    </w:p>
    <w:p w14:paraId="6FAC13FC">
      <w:pPr>
        <w:spacing w:line="400" w:lineRule="exact"/>
        <w:rPr>
          <w:rFonts w:ascii="宋体" w:hAnsi="宋体"/>
          <w:color w:val="auto"/>
          <w:sz w:val="24"/>
          <w:highlight w:val="none"/>
        </w:rPr>
      </w:pPr>
    </w:p>
    <w:p w14:paraId="32F17E89">
      <w:pPr>
        <w:spacing w:line="480" w:lineRule="exact"/>
        <w:rPr>
          <w:rFonts w:ascii="宋体" w:hAnsi="宋体"/>
          <w:color w:val="auto"/>
          <w:sz w:val="24"/>
          <w:highlight w:val="none"/>
        </w:rPr>
      </w:pPr>
    </w:p>
    <w:p w14:paraId="01126C47">
      <w:pPr>
        <w:spacing w:line="480" w:lineRule="exact"/>
        <w:rPr>
          <w:rFonts w:ascii="宋体" w:hAnsi="宋体"/>
          <w:color w:val="auto"/>
          <w:sz w:val="24"/>
          <w:highlight w:val="none"/>
        </w:rPr>
      </w:pPr>
    </w:p>
    <w:p w14:paraId="790B62D9">
      <w:pPr>
        <w:pStyle w:val="35"/>
        <w:spacing w:line="480" w:lineRule="exact"/>
        <w:jc w:val="center"/>
        <w:outlineLvl w:val="9"/>
        <w:rPr>
          <w:rFonts w:hAnsi="宋体"/>
          <w:b/>
          <w:color w:val="auto"/>
          <w:sz w:val="24"/>
          <w:highlight w:val="none"/>
        </w:rPr>
      </w:pPr>
    </w:p>
    <w:p w14:paraId="56CD7875">
      <w:pPr>
        <w:spacing w:line="480" w:lineRule="exact"/>
        <w:ind w:firstLine="600"/>
        <w:rPr>
          <w:rFonts w:ascii="宋体" w:hAnsi="宋体"/>
          <w:b/>
          <w:color w:val="auto"/>
          <w:sz w:val="24"/>
          <w:highlight w:val="none"/>
        </w:rPr>
      </w:pPr>
    </w:p>
    <w:p w14:paraId="64A2FD10">
      <w:pPr>
        <w:spacing w:line="480" w:lineRule="exact"/>
        <w:ind w:firstLine="600"/>
        <w:rPr>
          <w:rFonts w:ascii="宋体" w:hAnsi="宋体"/>
          <w:b/>
          <w:color w:val="auto"/>
          <w:sz w:val="24"/>
          <w:highlight w:val="none"/>
        </w:rPr>
      </w:pPr>
    </w:p>
    <w:p w14:paraId="012D0130">
      <w:pPr>
        <w:spacing w:line="480" w:lineRule="exact"/>
        <w:ind w:firstLine="600"/>
        <w:rPr>
          <w:rFonts w:ascii="宋体" w:hAnsi="宋体"/>
          <w:b/>
          <w:color w:val="auto"/>
          <w:sz w:val="24"/>
          <w:highlight w:val="none"/>
        </w:rPr>
      </w:pPr>
    </w:p>
    <w:p w14:paraId="63CA8A60">
      <w:pPr>
        <w:spacing w:line="480" w:lineRule="exact"/>
        <w:ind w:firstLine="600"/>
        <w:rPr>
          <w:rFonts w:ascii="宋体" w:hAnsi="宋体"/>
          <w:b/>
          <w:color w:val="auto"/>
          <w:sz w:val="24"/>
          <w:highlight w:val="none"/>
        </w:rPr>
      </w:pPr>
    </w:p>
    <w:p w14:paraId="32D0EFA1">
      <w:pPr>
        <w:pStyle w:val="35"/>
        <w:spacing w:line="480" w:lineRule="exact"/>
        <w:jc w:val="center"/>
        <w:outlineLvl w:val="9"/>
        <w:rPr>
          <w:rFonts w:hAnsi="宋体"/>
          <w:b/>
          <w:color w:val="auto"/>
          <w:sz w:val="24"/>
          <w:highlight w:val="none"/>
        </w:rPr>
      </w:pPr>
    </w:p>
    <w:p w14:paraId="660AA177">
      <w:pPr>
        <w:pStyle w:val="35"/>
        <w:spacing w:line="480" w:lineRule="exact"/>
        <w:jc w:val="center"/>
        <w:outlineLvl w:val="9"/>
        <w:rPr>
          <w:rFonts w:hAnsi="宋体"/>
          <w:b/>
          <w:color w:val="auto"/>
          <w:sz w:val="24"/>
          <w:highlight w:val="none"/>
        </w:rPr>
      </w:pPr>
    </w:p>
    <w:p w14:paraId="2E671BD7">
      <w:pPr>
        <w:jc w:val="center"/>
        <w:rPr>
          <w:rFonts w:ascii="宋体" w:hAnsi="宋体"/>
          <w:b/>
          <w:bCs/>
          <w:color w:val="auto"/>
          <w:sz w:val="36"/>
          <w:highlight w:val="none"/>
        </w:rPr>
      </w:pPr>
      <w:bookmarkStart w:id="128" w:name="_Toc459798545"/>
      <w:bookmarkStart w:id="129" w:name="_Toc7273"/>
      <w:bookmarkStart w:id="130" w:name="_Toc462990137"/>
      <w:bookmarkStart w:id="131" w:name="_Toc462994807"/>
      <w:bookmarkStart w:id="132" w:name="_Toc462989267"/>
      <w:bookmarkStart w:id="133" w:name="_Toc467163877"/>
      <w:bookmarkStart w:id="134" w:name="_Toc459798242"/>
      <w:r>
        <w:rPr>
          <w:rFonts w:hint="eastAsia" w:hAnsi="宋体"/>
          <w:b/>
          <w:color w:val="auto"/>
          <w:sz w:val="24"/>
          <w:highlight w:val="none"/>
        </w:rPr>
        <w:t>注：须编制目录、页码</w:t>
      </w:r>
      <w:r>
        <w:rPr>
          <w:rFonts w:hAnsi="宋体"/>
          <w:b/>
          <w:color w:val="auto"/>
          <w:sz w:val="36"/>
          <w:highlight w:val="none"/>
        </w:rPr>
        <w:br w:type="page"/>
      </w:r>
      <w:bookmarkEnd w:id="128"/>
      <w:bookmarkEnd w:id="129"/>
      <w:bookmarkEnd w:id="130"/>
      <w:bookmarkEnd w:id="131"/>
      <w:bookmarkEnd w:id="132"/>
      <w:bookmarkEnd w:id="133"/>
      <w:bookmarkEnd w:id="134"/>
      <w:bookmarkStart w:id="135" w:name="_Toc287002968"/>
    </w:p>
    <w:p w14:paraId="7A457935">
      <w:pPr>
        <w:jc w:val="center"/>
        <w:rPr>
          <w:rFonts w:ascii="宋体" w:hAnsi="宋体"/>
          <w:b/>
          <w:bCs/>
          <w:color w:val="auto"/>
          <w:sz w:val="36"/>
          <w:highlight w:val="none"/>
        </w:rPr>
      </w:pPr>
      <w:r>
        <w:rPr>
          <w:rFonts w:hint="eastAsia" w:ascii="宋体" w:hAnsi="宋体"/>
          <w:b/>
          <w:bCs/>
          <w:color w:val="auto"/>
          <w:sz w:val="36"/>
          <w:highlight w:val="none"/>
        </w:rPr>
        <w:t>1、开标一览表</w:t>
      </w:r>
      <w:bookmarkEnd w:id="135"/>
    </w:p>
    <w:p w14:paraId="7CED2AA6">
      <w:pPr>
        <w:rPr>
          <w:rFonts w:ascii="宋体" w:hAnsi="宋体"/>
          <w:color w:val="auto"/>
          <w:sz w:val="24"/>
          <w:highlight w:val="none"/>
        </w:rPr>
      </w:pPr>
    </w:p>
    <w:p w14:paraId="242E3A17">
      <w:pPr>
        <w:rPr>
          <w:rFonts w:ascii="宋体" w:hAnsi="宋体"/>
          <w:color w:val="auto"/>
          <w:sz w:val="24"/>
          <w:highlight w:val="none"/>
        </w:rPr>
      </w:pPr>
      <w:r>
        <w:rPr>
          <w:rFonts w:hint="eastAsia" w:ascii="宋体" w:hAnsi="宋体"/>
          <w:color w:val="auto"/>
          <w:sz w:val="24"/>
          <w:highlight w:val="none"/>
          <w:lang w:eastAsia="zh-CN"/>
        </w:rPr>
        <w:t>项目编号</w:t>
      </w:r>
      <w:r>
        <w:rPr>
          <w:rFonts w:hint="eastAsia" w:ascii="宋体" w:hAnsi="宋体"/>
          <w:color w:val="auto"/>
          <w:sz w:val="24"/>
          <w:highlight w:val="none"/>
        </w:rPr>
        <w:t xml:space="preserve">∶                       </w:t>
      </w:r>
    </w:p>
    <w:p w14:paraId="1D9481A8">
      <w:pPr>
        <w:pStyle w:val="37"/>
        <w:adjustRightInd w:val="0"/>
        <w:snapToGrid w:val="0"/>
        <w:spacing w:line="320" w:lineRule="atLeast"/>
        <w:ind w:firstLine="0" w:firstLineChars="0"/>
        <w:rPr>
          <w:rFonts w:ascii="宋体" w:hAnsi="宋体"/>
          <w:color w:val="auto"/>
          <w:sz w:val="24"/>
          <w:szCs w:val="24"/>
          <w:highlight w:val="none"/>
        </w:rPr>
      </w:pPr>
    </w:p>
    <w:tbl>
      <w:tblPr>
        <w:tblStyle w:val="20"/>
        <w:tblW w:w="482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688"/>
        <w:gridCol w:w="2427"/>
        <w:gridCol w:w="3790"/>
      </w:tblGrid>
      <w:tr w14:paraId="0083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427" w:type="pct"/>
            <w:noWrap/>
            <w:vAlign w:val="center"/>
          </w:tcPr>
          <w:p w14:paraId="4DE93277">
            <w:pPr>
              <w:jc w:val="center"/>
              <w:rPr>
                <w:rFonts w:ascii="宋体" w:hAnsi="宋体"/>
                <w:color w:val="auto"/>
                <w:sz w:val="24"/>
                <w:highlight w:val="none"/>
                <w:lang w:val="zh-CN"/>
              </w:rPr>
            </w:pPr>
            <w:r>
              <w:rPr>
                <w:rFonts w:hint="eastAsia" w:ascii="宋体" w:hAnsi="宋体"/>
                <w:color w:val="auto"/>
                <w:sz w:val="24"/>
                <w:highlight w:val="none"/>
                <w:lang w:val="zh-CN"/>
              </w:rPr>
              <w:t>合同包</w:t>
            </w:r>
          </w:p>
        </w:tc>
        <w:tc>
          <w:tcPr>
            <w:tcW w:w="1380" w:type="pct"/>
            <w:noWrap/>
            <w:vAlign w:val="center"/>
          </w:tcPr>
          <w:p w14:paraId="3AF27E46">
            <w:pPr>
              <w:widowControl/>
              <w:spacing w:line="440" w:lineRule="exact"/>
              <w:jc w:val="center"/>
              <w:rPr>
                <w:rFonts w:ascii="宋体" w:hAnsi="宋体"/>
                <w:color w:val="auto"/>
                <w:sz w:val="24"/>
                <w:highlight w:val="none"/>
                <w:lang w:val="zh-CN"/>
              </w:rPr>
            </w:pPr>
            <w:r>
              <w:rPr>
                <w:rFonts w:hint="eastAsia" w:ascii="宋体" w:hAnsi="宋体" w:cs="宋体"/>
                <w:color w:val="auto"/>
                <w:kern w:val="0"/>
                <w:sz w:val="24"/>
                <w:highlight w:val="none"/>
                <w:lang w:eastAsia="zh-CN"/>
              </w:rPr>
              <w:t>项目</w:t>
            </w:r>
            <w:r>
              <w:rPr>
                <w:rFonts w:hint="eastAsia" w:ascii="宋体" w:hAnsi="宋体" w:cs="宋体"/>
                <w:color w:val="auto"/>
                <w:kern w:val="0"/>
                <w:sz w:val="24"/>
                <w:highlight w:val="none"/>
              </w:rPr>
              <w:t>名称</w:t>
            </w:r>
          </w:p>
        </w:tc>
        <w:tc>
          <w:tcPr>
            <w:tcW w:w="1246" w:type="pct"/>
            <w:noWrap/>
            <w:vAlign w:val="center"/>
          </w:tcPr>
          <w:p w14:paraId="31F8DEC3">
            <w:pPr>
              <w:spacing w:line="360" w:lineRule="auto"/>
              <w:jc w:val="center"/>
              <w:rPr>
                <w:rFonts w:hint="eastAsia" w:ascii="宋体" w:hAnsi="宋体"/>
                <w:color w:val="auto"/>
                <w:sz w:val="24"/>
                <w:highlight w:val="none"/>
              </w:rPr>
            </w:pPr>
            <w:r>
              <w:rPr>
                <w:rFonts w:hint="eastAsia" w:ascii="宋体" w:hAnsi="宋体" w:cs="宋体"/>
                <w:bCs/>
                <w:color w:val="auto"/>
                <w:kern w:val="0"/>
                <w:sz w:val="24"/>
                <w:highlight w:val="none"/>
                <w:lang w:eastAsia="zh-CN"/>
              </w:rPr>
              <w:t>服务期限</w:t>
            </w:r>
          </w:p>
        </w:tc>
        <w:tc>
          <w:tcPr>
            <w:tcW w:w="1945" w:type="pct"/>
            <w:noWrap/>
            <w:vAlign w:val="center"/>
          </w:tcPr>
          <w:p w14:paraId="63065EB9">
            <w:pPr>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投标报价</w:t>
            </w:r>
          </w:p>
        </w:tc>
      </w:tr>
      <w:tr w14:paraId="6F3E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atLeast"/>
        </w:trPr>
        <w:tc>
          <w:tcPr>
            <w:tcW w:w="427" w:type="pct"/>
            <w:noWrap/>
            <w:vAlign w:val="center"/>
          </w:tcPr>
          <w:p w14:paraId="7F7B67D9">
            <w:pPr>
              <w:tabs>
                <w:tab w:val="left" w:pos="5355"/>
              </w:tabs>
              <w:jc w:val="center"/>
              <w:rPr>
                <w:rFonts w:ascii="宋体" w:hAnsi="宋体"/>
                <w:color w:val="auto"/>
                <w:sz w:val="24"/>
                <w:highlight w:val="none"/>
              </w:rPr>
            </w:pPr>
            <w:r>
              <w:rPr>
                <w:rFonts w:hint="eastAsia" w:ascii="宋体" w:hAnsi="宋体"/>
                <w:color w:val="auto"/>
                <w:sz w:val="24"/>
                <w:highlight w:val="none"/>
              </w:rPr>
              <w:t>1</w:t>
            </w:r>
          </w:p>
        </w:tc>
        <w:tc>
          <w:tcPr>
            <w:tcW w:w="1380" w:type="pct"/>
            <w:noWrap/>
            <w:vAlign w:val="center"/>
          </w:tcPr>
          <w:p w14:paraId="41CFBC8F">
            <w:pPr>
              <w:spacing w:line="320" w:lineRule="exact"/>
              <w:jc w:val="center"/>
              <w:rPr>
                <w:rFonts w:ascii="宋体" w:hAnsi="宋体"/>
                <w:color w:val="auto"/>
                <w:sz w:val="24"/>
                <w:highlight w:val="none"/>
                <w:lang w:val="zh-CN"/>
              </w:rPr>
            </w:pPr>
            <w:r>
              <w:rPr>
                <w:rFonts w:hint="eastAsia" w:ascii="宋体" w:hAnsi="宋体"/>
                <w:color w:val="auto"/>
                <w:sz w:val="24"/>
                <w:highlight w:val="none"/>
                <w:lang w:eastAsia="zh-CN"/>
              </w:rPr>
              <w:t>食堂服务外包项目</w:t>
            </w:r>
          </w:p>
        </w:tc>
        <w:tc>
          <w:tcPr>
            <w:tcW w:w="1246" w:type="pct"/>
            <w:noWrap/>
            <w:vAlign w:val="center"/>
          </w:tcPr>
          <w:p w14:paraId="38F1DC7F">
            <w:pPr>
              <w:widowControl/>
              <w:spacing w:line="360" w:lineRule="auto"/>
              <w:jc w:val="center"/>
              <w:textAlignment w:val="center"/>
              <w:rPr>
                <w:rFonts w:ascii="宋体" w:hAnsi="宋体"/>
                <w:color w:val="auto"/>
                <w:sz w:val="24"/>
                <w:highlight w:val="none"/>
                <w:u w:val="double"/>
              </w:rPr>
            </w:pPr>
          </w:p>
        </w:tc>
        <w:tc>
          <w:tcPr>
            <w:tcW w:w="1945" w:type="pct"/>
            <w:noWrap/>
            <w:vAlign w:val="center"/>
          </w:tcPr>
          <w:p w14:paraId="62F47F4D">
            <w:pPr>
              <w:tabs>
                <w:tab w:val="left" w:pos="5355"/>
              </w:tabs>
              <w:jc w:val="center"/>
              <w:rPr>
                <w:rFonts w:hint="default" w:ascii="宋体" w:hAnsi="宋体" w:eastAsia="宋体"/>
                <w:color w:val="auto"/>
                <w:sz w:val="24"/>
                <w:highlight w:val="none"/>
                <w:u w:val="double"/>
                <w:lang w:val="en-US" w:eastAsia="zh-CN"/>
              </w:rPr>
            </w:pPr>
            <w:r>
              <w:rPr>
                <w:rFonts w:hint="eastAsia" w:ascii="宋体" w:hAnsi="宋体"/>
                <w:color w:val="auto"/>
                <w:sz w:val="24"/>
                <w:highlight w:val="none"/>
                <w:u w:val="none"/>
                <w:lang w:val="en-US" w:eastAsia="zh-CN"/>
              </w:rPr>
              <w:t xml:space="preserve">小写： </w:t>
            </w:r>
          </w:p>
        </w:tc>
      </w:tr>
    </w:tbl>
    <w:p w14:paraId="0F15F9ED">
      <w:pPr>
        <w:spacing w:line="360" w:lineRule="auto"/>
        <w:jc w:val="left"/>
        <w:rPr>
          <w:rFonts w:ascii="宋体" w:hAnsi="宋体" w:cs="宋体"/>
          <w:bCs/>
          <w:color w:val="auto"/>
          <w:sz w:val="24"/>
          <w:highlight w:val="none"/>
        </w:rPr>
      </w:pPr>
    </w:p>
    <w:p w14:paraId="534F8DEA">
      <w:pPr>
        <w:pStyle w:val="28"/>
        <w:rPr>
          <w:rFonts w:ascii="宋体" w:hAnsi="宋体" w:cs="宋体"/>
          <w:bCs/>
          <w:color w:val="auto"/>
          <w:sz w:val="24"/>
          <w:highlight w:val="none"/>
        </w:rPr>
      </w:pPr>
    </w:p>
    <w:p w14:paraId="367C749A">
      <w:pPr>
        <w:jc w:val="left"/>
        <w:rPr>
          <w:rFonts w:ascii="宋体" w:hAnsi="宋体" w:cs="宋体"/>
          <w:bCs/>
          <w:color w:val="auto"/>
          <w:sz w:val="24"/>
          <w:highlight w:val="none"/>
        </w:rPr>
      </w:pPr>
    </w:p>
    <w:p w14:paraId="387D0381">
      <w:pPr>
        <w:jc w:val="left"/>
        <w:rPr>
          <w:rFonts w:ascii="宋体" w:hAnsi="宋体" w:cs="宋体"/>
          <w:bCs/>
          <w:color w:val="auto"/>
          <w:sz w:val="24"/>
          <w:highlight w:val="none"/>
        </w:rPr>
      </w:pPr>
      <w:r>
        <w:rPr>
          <w:rFonts w:hint="eastAsia" w:ascii="宋体" w:hAnsi="宋体" w:cs="宋体"/>
          <w:bCs/>
          <w:color w:val="auto"/>
          <w:sz w:val="24"/>
          <w:highlight w:val="none"/>
        </w:rPr>
        <w:t>投标人：</w:t>
      </w:r>
      <w:r>
        <w:rPr>
          <w:rFonts w:hint="eastAsia"/>
          <w:color w:val="auto"/>
          <w:highlight w:val="none"/>
          <w:u w:val="single"/>
        </w:rPr>
        <w:t>                   </w:t>
      </w:r>
      <w:r>
        <w:rPr>
          <w:rFonts w:hint="eastAsia" w:ascii="宋体" w:hAnsi="宋体" w:cs="宋体"/>
          <w:bCs/>
          <w:color w:val="auto"/>
          <w:sz w:val="24"/>
          <w:highlight w:val="none"/>
        </w:rPr>
        <w:t>（全称并加盖单位公章）</w:t>
      </w:r>
    </w:p>
    <w:p w14:paraId="5439D6E0">
      <w:pPr>
        <w:pStyle w:val="17"/>
        <w:rPr>
          <w:color w:val="auto"/>
          <w:highlight w:val="none"/>
        </w:rPr>
      </w:pPr>
      <w:r>
        <w:rPr>
          <w:rFonts w:hint="eastAsia"/>
          <w:color w:val="auto"/>
          <w:highlight w:val="none"/>
        </w:rPr>
        <w:t>投标人代表签字：</w:t>
      </w:r>
      <w:r>
        <w:rPr>
          <w:rFonts w:hint="eastAsia"/>
          <w:color w:val="auto"/>
          <w:highlight w:val="none"/>
          <w:u w:val="single"/>
        </w:rPr>
        <w:t>                   </w:t>
      </w:r>
    </w:p>
    <w:p w14:paraId="15E1C95A">
      <w:pPr>
        <w:pStyle w:val="17"/>
        <w:rPr>
          <w:color w:val="auto"/>
          <w:highlight w:val="none"/>
        </w:rPr>
      </w:pPr>
      <w:r>
        <w:rPr>
          <w:rFonts w:hint="eastAsia"/>
          <w:color w:val="auto"/>
          <w:highlight w:val="none"/>
        </w:rPr>
        <w:t>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16E039F1">
      <w:pPr>
        <w:spacing w:line="500" w:lineRule="atLeast"/>
        <w:rPr>
          <w:rFonts w:ascii="宋体" w:hAnsi="宋体"/>
          <w:color w:val="auto"/>
          <w:sz w:val="24"/>
          <w:highlight w:val="none"/>
        </w:rPr>
      </w:pPr>
    </w:p>
    <w:p w14:paraId="2AC3AADA">
      <w:pPr>
        <w:pStyle w:val="28"/>
        <w:rPr>
          <w:rFonts w:ascii="宋体" w:hAnsi="宋体"/>
          <w:color w:val="auto"/>
          <w:sz w:val="24"/>
          <w:szCs w:val="24"/>
          <w:highlight w:val="none"/>
        </w:rPr>
      </w:pPr>
    </w:p>
    <w:p w14:paraId="37215EE7">
      <w:pPr>
        <w:pStyle w:val="28"/>
        <w:rPr>
          <w:rFonts w:ascii="宋体" w:hAnsi="宋体"/>
          <w:color w:val="auto"/>
          <w:sz w:val="24"/>
          <w:szCs w:val="24"/>
          <w:highlight w:val="none"/>
        </w:rPr>
      </w:pPr>
    </w:p>
    <w:p w14:paraId="50ED6809">
      <w:pPr>
        <w:pStyle w:val="28"/>
        <w:rPr>
          <w:rFonts w:ascii="宋体" w:hAnsi="宋体"/>
          <w:color w:val="auto"/>
          <w:sz w:val="24"/>
          <w:szCs w:val="24"/>
          <w:highlight w:val="none"/>
        </w:rPr>
      </w:pPr>
    </w:p>
    <w:p w14:paraId="4FF34785">
      <w:pPr>
        <w:pStyle w:val="28"/>
        <w:rPr>
          <w:rFonts w:ascii="宋体" w:hAnsi="宋体"/>
          <w:color w:val="auto"/>
          <w:sz w:val="24"/>
          <w:szCs w:val="24"/>
          <w:highlight w:val="none"/>
        </w:rPr>
      </w:pPr>
    </w:p>
    <w:p w14:paraId="0A23621F">
      <w:pPr>
        <w:pStyle w:val="28"/>
        <w:rPr>
          <w:rFonts w:ascii="宋体" w:hAnsi="宋体"/>
          <w:color w:val="auto"/>
          <w:sz w:val="24"/>
          <w:szCs w:val="24"/>
          <w:highlight w:val="none"/>
        </w:rPr>
      </w:pPr>
    </w:p>
    <w:p w14:paraId="70551A8F">
      <w:pPr>
        <w:pStyle w:val="28"/>
        <w:rPr>
          <w:rFonts w:ascii="宋体" w:hAnsi="宋体"/>
          <w:color w:val="auto"/>
          <w:sz w:val="24"/>
          <w:szCs w:val="24"/>
          <w:highlight w:val="none"/>
        </w:rPr>
      </w:pPr>
    </w:p>
    <w:p w14:paraId="537C7DAA">
      <w:pPr>
        <w:pStyle w:val="28"/>
        <w:rPr>
          <w:rFonts w:ascii="宋体" w:hAnsi="宋体"/>
          <w:color w:val="auto"/>
          <w:sz w:val="24"/>
          <w:szCs w:val="24"/>
          <w:highlight w:val="none"/>
        </w:rPr>
      </w:pPr>
    </w:p>
    <w:p w14:paraId="6F1E3A8D">
      <w:pPr>
        <w:pStyle w:val="28"/>
        <w:rPr>
          <w:rFonts w:ascii="宋体" w:hAnsi="宋体"/>
          <w:color w:val="auto"/>
          <w:sz w:val="24"/>
          <w:szCs w:val="24"/>
          <w:highlight w:val="none"/>
        </w:rPr>
      </w:pPr>
    </w:p>
    <w:p w14:paraId="6FF4D8C3">
      <w:pPr>
        <w:pStyle w:val="28"/>
        <w:rPr>
          <w:rFonts w:ascii="宋体" w:hAnsi="宋体"/>
          <w:color w:val="auto"/>
          <w:sz w:val="24"/>
          <w:szCs w:val="24"/>
          <w:highlight w:val="none"/>
        </w:rPr>
      </w:pPr>
    </w:p>
    <w:p w14:paraId="1D576930">
      <w:pPr>
        <w:pStyle w:val="28"/>
        <w:rPr>
          <w:rFonts w:ascii="宋体" w:hAnsi="宋体"/>
          <w:color w:val="auto"/>
          <w:sz w:val="24"/>
          <w:szCs w:val="24"/>
          <w:highlight w:val="none"/>
        </w:rPr>
      </w:pPr>
    </w:p>
    <w:p w14:paraId="02D9A6E8">
      <w:pPr>
        <w:pStyle w:val="28"/>
        <w:rPr>
          <w:rFonts w:ascii="宋体" w:hAnsi="宋体"/>
          <w:color w:val="auto"/>
          <w:sz w:val="24"/>
          <w:szCs w:val="24"/>
          <w:highlight w:val="none"/>
        </w:rPr>
      </w:pPr>
    </w:p>
    <w:p w14:paraId="2C2C5E76">
      <w:pPr>
        <w:pStyle w:val="28"/>
        <w:rPr>
          <w:rFonts w:ascii="宋体" w:hAnsi="宋体"/>
          <w:color w:val="auto"/>
          <w:sz w:val="24"/>
          <w:szCs w:val="24"/>
          <w:highlight w:val="none"/>
        </w:rPr>
      </w:pPr>
    </w:p>
    <w:p w14:paraId="701B33F9">
      <w:pPr>
        <w:pStyle w:val="28"/>
        <w:rPr>
          <w:rFonts w:ascii="宋体" w:hAnsi="宋体"/>
          <w:color w:val="auto"/>
          <w:sz w:val="24"/>
          <w:szCs w:val="24"/>
          <w:highlight w:val="none"/>
        </w:rPr>
      </w:pPr>
    </w:p>
    <w:p w14:paraId="29CB1F11">
      <w:pPr>
        <w:pStyle w:val="28"/>
        <w:rPr>
          <w:rFonts w:ascii="宋体" w:hAnsi="宋体"/>
          <w:color w:val="auto"/>
          <w:sz w:val="24"/>
          <w:szCs w:val="24"/>
          <w:highlight w:val="none"/>
        </w:rPr>
      </w:pPr>
    </w:p>
    <w:p w14:paraId="16D593E1">
      <w:pPr>
        <w:pStyle w:val="28"/>
        <w:rPr>
          <w:rFonts w:ascii="宋体" w:hAnsi="宋体"/>
          <w:color w:val="auto"/>
          <w:sz w:val="24"/>
          <w:szCs w:val="24"/>
          <w:highlight w:val="none"/>
        </w:rPr>
      </w:pPr>
    </w:p>
    <w:p w14:paraId="69F4C920">
      <w:pPr>
        <w:pStyle w:val="28"/>
        <w:rPr>
          <w:rFonts w:ascii="宋体" w:hAnsi="宋体"/>
          <w:color w:val="auto"/>
          <w:sz w:val="24"/>
          <w:szCs w:val="24"/>
          <w:highlight w:val="none"/>
        </w:rPr>
      </w:pPr>
    </w:p>
    <w:p w14:paraId="47719E2C">
      <w:pPr>
        <w:pStyle w:val="28"/>
        <w:rPr>
          <w:rFonts w:ascii="宋体" w:hAnsi="宋体"/>
          <w:color w:val="auto"/>
          <w:sz w:val="24"/>
          <w:szCs w:val="24"/>
          <w:highlight w:val="none"/>
        </w:rPr>
      </w:pPr>
    </w:p>
    <w:p w14:paraId="141D84CB">
      <w:pPr>
        <w:pStyle w:val="28"/>
        <w:rPr>
          <w:rFonts w:ascii="宋体" w:hAnsi="宋体"/>
          <w:color w:val="auto"/>
          <w:sz w:val="24"/>
          <w:szCs w:val="24"/>
          <w:highlight w:val="none"/>
        </w:rPr>
      </w:pPr>
    </w:p>
    <w:p w14:paraId="7D190CF6">
      <w:pPr>
        <w:pStyle w:val="28"/>
        <w:rPr>
          <w:rFonts w:ascii="宋体" w:hAnsi="宋体"/>
          <w:color w:val="auto"/>
          <w:sz w:val="24"/>
          <w:szCs w:val="24"/>
          <w:highlight w:val="none"/>
        </w:rPr>
      </w:pPr>
    </w:p>
    <w:p w14:paraId="238EE6D3">
      <w:pPr>
        <w:pStyle w:val="28"/>
        <w:rPr>
          <w:rFonts w:ascii="宋体" w:hAnsi="宋体"/>
          <w:color w:val="auto"/>
          <w:sz w:val="24"/>
          <w:szCs w:val="24"/>
          <w:highlight w:val="none"/>
        </w:rPr>
      </w:pPr>
    </w:p>
    <w:p w14:paraId="30ECE7B3">
      <w:pPr>
        <w:pStyle w:val="28"/>
        <w:rPr>
          <w:rFonts w:ascii="宋体" w:hAnsi="宋体"/>
          <w:color w:val="auto"/>
          <w:sz w:val="24"/>
          <w:szCs w:val="24"/>
          <w:highlight w:val="none"/>
        </w:rPr>
      </w:pPr>
    </w:p>
    <w:p w14:paraId="03AEC2B0">
      <w:pPr>
        <w:pStyle w:val="28"/>
        <w:rPr>
          <w:rFonts w:ascii="宋体" w:hAnsi="宋体"/>
          <w:color w:val="auto"/>
          <w:sz w:val="24"/>
          <w:szCs w:val="24"/>
          <w:highlight w:val="none"/>
        </w:rPr>
      </w:pPr>
    </w:p>
    <w:p w14:paraId="547BF8D9">
      <w:pPr>
        <w:pStyle w:val="28"/>
        <w:rPr>
          <w:rFonts w:ascii="宋体" w:hAnsi="宋体"/>
          <w:color w:val="auto"/>
          <w:sz w:val="24"/>
          <w:szCs w:val="24"/>
          <w:highlight w:val="none"/>
        </w:rPr>
      </w:pPr>
    </w:p>
    <w:sectPr>
      <w:headerReference r:id="rId11" w:type="default"/>
      <w:footerReference r:id="rId12" w:type="default"/>
      <w:type w:val="continuous"/>
      <w:pgSz w:w="11907" w:h="16840"/>
      <w:pgMar w:top="1134" w:right="907" w:bottom="850" w:left="1134" w:header="680" w:footer="283"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24DCB">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17E66B">
                          <w:pPr>
                            <w:pStyle w:val="12"/>
                          </w:pPr>
                          <w:r>
                            <w:fldChar w:fldCharType="begin"/>
                          </w:r>
                          <w:r>
                            <w:instrText xml:space="preserve"> PAGE  \* MERGEFORMAT </w:instrText>
                          </w:r>
                          <w:r>
                            <w:fldChar w:fldCharType="separate"/>
                          </w:r>
                          <w:r>
                            <w:t>12</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ieMu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c1X3HmhKULv/z4fvn5+/LrG1sm&#10;eXqPFVXdeaqLw2sYaGnmOFIwsR7aYNOf+DDKk7jnq7hqiEymQ+vVel1SSlJudgi/uD/uA8a3CixL&#10;Rs0D3V4WVZzeYxxL55LUzcGtNibfoHF/BQhzjKi8AtPpxGScOFlx2A8Tv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RGJ4y4QEAAMwDAAAOAAAA&#10;AAAAAAEAIAAAAB4BAABkcnMvZTJvRG9jLnhtbFBLBQYAAAAABgAGAFkBAABxBQAAAAA=&#10;">
              <v:fill on="f" focussize="0,0"/>
              <v:stroke on="f"/>
              <v:imagedata o:title=""/>
              <o:lock v:ext="edit" aspectratio="f"/>
              <v:textbox inset="0mm,0mm,0mm,0mm" style="mso-fit-shape-to-text:t;">
                <w:txbxContent>
                  <w:p w14:paraId="0E17E66B">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E6584">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DECEEF">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14:paraId="62DECEEF">
                    <w:pPr>
                      <w:pStyle w:val="12"/>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1FE4">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865499A">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d1Qt6OIBAADMAwAADgAA&#10;AAAAAAABACAAAAAeAQAAZHJzL2Uyb0RvYy54bWxQSwUGAAAAAAYABgBZAQAAcgUAAAAA&#10;">
              <v:fill on="f" focussize="0,0"/>
              <v:stroke on="f"/>
              <v:imagedata o:title=""/>
              <o:lock v:ext="edit" aspectratio="f"/>
              <v:textbox inset="0mm,0mm,0mm,0mm" style="mso-fit-shape-to-text:t;">
                <w:txbxContent>
                  <w:p w14:paraId="3865499A">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C6B8A">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3E015A7">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14:paraId="33E015A7">
                    <w:pPr>
                      <w:pStyle w:val="12"/>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CA1B9DE">
                          <w:pPr>
                            <w:pStyle w:val="12"/>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hpgkvT&#10;AAAABQEAAA8AAAAAAAAAAQAgAAAAIgAAAGRycy9kb3ducmV2LnhtbFBLAQIUABQAAAAIAIdO4kCl&#10;2TgN7AEAANYDAAAOAAAAAAAAAAEAIAAAACIBAABkcnMvZTJvRG9jLnhtbFBLBQYAAAAABgAGAFkB&#10;AACABQAAAAA=&#10;">
              <v:fill on="f" focussize="0,0"/>
              <v:stroke on="f" weight="1.25pt"/>
              <v:imagedata o:title=""/>
              <o:lock v:ext="edit" aspectratio="f"/>
              <v:textbox inset="0mm,0mm,0mm,0mm" style="mso-fit-shape-to-text:t;">
                <w:txbxContent>
                  <w:p w14:paraId="7CA1B9DE">
                    <w:pPr>
                      <w:pStyle w:val="12"/>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75D1">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AC55C7">
                          <w:pPr>
                            <w:pStyle w:val="12"/>
                          </w:pPr>
                          <w:r>
                            <w:t xml:space="preserve">第 </w:t>
                          </w:r>
                          <w:r>
                            <w:fldChar w:fldCharType="begin"/>
                          </w:r>
                          <w:r>
                            <w:instrText xml:space="preserve"> PAGE  \* MERGEFORMAT </w:instrText>
                          </w:r>
                          <w:r>
                            <w:fldChar w:fldCharType="separate"/>
                          </w:r>
                          <w:r>
                            <w:t>62</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mLmYRuIBAADMAwAADgAA&#10;AAAAAAABACAAAAAeAQAAZHJzL2Uyb0RvYy54bWxQSwUGAAAAAAYABgBZAQAAcgUAAAAA&#10;">
              <v:fill on="f" focussize="0,0"/>
              <v:stroke on="f"/>
              <v:imagedata o:title=""/>
              <o:lock v:ext="edit" aspectratio="f"/>
              <v:textbox inset="0mm,0mm,0mm,0mm" style="mso-fit-shape-to-text:t;">
                <w:txbxContent>
                  <w:p w14:paraId="32AC55C7">
                    <w:pPr>
                      <w:pStyle w:val="12"/>
                    </w:pPr>
                    <w:r>
                      <w:t xml:space="preserve">第 </w:t>
                    </w:r>
                    <w:r>
                      <w:fldChar w:fldCharType="begin"/>
                    </w:r>
                    <w:r>
                      <w:instrText xml:space="preserve"> PAGE  \* MERGEFORMAT </w:instrText>
                    </w:r>
                    <w:r>
                      <w:fldChar w:fldCharType="separate"/>
                    </w:r>
                    <w:r>
                      <w:t>62</w:t>
                    </w:r>
                    <w:r>
                      <w:fldChar w:fldCharType="end"/>
                    </w:r>
                    <w: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5ED7005">
                          <w:pPr>
                            <w:pStyle w:val="12"/>
                          </w:pP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QfQZQ+0BAADWAwAADgAAAAAAAAABACAAAAAiAQAAZHJzL2Uyb0RvYy54bWxQSwUGAAAAAAYABgBZ&#10;AQAAgQUAAAAA&#10;">
              <v:fill on="f" focussize="0,0"/>
              <v:stroke on="f" weight="1.25pt"/>
              <v:imagedata o:title=""/>
              <o:lock v:ext="edit" aspectratio="f"/>
              <v:textbox inset="0mm,0mm,0mm,0mm" style="mso-fit-shape-to-text:t;">
                <w:txbxContent>
                  <w:p w14:paraId="45ED7005">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A54C4">
    <w:pPr>
      <w:pStyle w:val="14"/>
      <w:pBdr>
        <w:bottom w:val="none" w:color="auto" w:sz="0" w:space="0"/>
      </w:pBdr>
      <w:jc w:val="both"/>
      <w:rPr>
        <w:rFonts w:ascii="宋体" w:hAnsi="宋体"/>
        <w:b/>
        <w:sz w:val="21"/>
        <w:szCs w:val="21"/>
        <w:u w:val="single"/>
        <w:shd w:val="pct10" w:color="auto" w:fill="FFFFFF"/>
      </w:rPr>
    </w:pPr>
    <w:r>
      <w:rPr>
        <w:rFonts w:hint="eastAsia" w:ascii="宋体" w:hAnsi="宋体"/>
        <w:b/>
        <w:sz w:val="21"/>
        <w:szCs w:val="21"/>
        <w:u w:val="single"/>
        <w:shd w:val="pct10" w:color="auto" w:fill="FFFFFF"/>
      </w:rPr>
      <w:t>福建省宏瑞招标代理有限公司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85291">
    <w:pPr>
      <w:pStyle w:val="14"/>
      <w:pBdr>
        <w:bottom w:val="none" w:color="auto" w:sz="0" w:space="0"/>
      </w:pBdr>
      <w:jc w:val="left"/>
    </w:pPr>
    <w:r>
      <w:rPr>
        <w:rFonts w:hint="eastAsia" w:ascii="宋体" w:hAnsi="宋体"/>
        <w:b/>
        <w:sz w:val="21"/>
        <w:szCs w:val="21"/>
        <w:u w:val="single"/>
        <w:shd w:val="pct10" w:color="auto" w:fill="FFFFFF"/>
      </w:rPr>
      <w:t>福建省宏瑞招标代理有限公司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41D2A">
    <w:pPr>
      <w:pStyle w:val="14"/>
      <w:pBdr>
        <w:bottom w:val="none" w:color="auto" w:sz="0" w:space="0"/>
      </w:pBdr>
      <w:jc w:val="both"/>
      <w:rPr>
        <w:sz w:val="21"/>
        <w:szCs w:val="21"/>
      </w:rPr>
    </w:pPr>
    <w:r>
      <w:rPr>
        <w:rFonts w:hint="eastAsia" w:ascii="宋体" w:hAnsi="宋体"/>
        <w:b/>
        <w:sz w:val="21"/>
        <w:szCs w:val="21"/>
        <w:u w:val="single"/>
        <w:shd w:val="pct10" w:color="auto" w:fill="FFFFFF"/>
      </w:rPr>
      <w:t>福建省宏瑞招标代理有限公司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2FABE">
    <w:pPr>
      <w:pStyle w:val="14"/>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D889">
    <w:pPr>
      <w:pStyle w:val="14"/>
      <w:pBdr>
        <w:bottom w:val="none" w:color="auto" w:sz="0" w:space="0"/>
      </w:pBdr>
      <w:jc w:val="left"/>
    </w:pPr>
    <w:r>
      <w:rPr>
        <w:rFonts w:hint="eastAsia" w:ascii="宋体" w:hAnsi="宋体"/>
        <w:b/>
        <w:sz w:val="21"/>
        <w:szCs w:val="21"/>
        <w:u w:val="single"/>
        <w:shd w:val="pct10" w:color="auto" w:fill="FFFFFF"/>
      </w:rPr>
      <w:t xml:space="preserve">福建省宏瑞招标代理有限公司                 </w:t>
    </w:r>
    <w:r>
      <w:rPr>
        <w:rFonts w:hint="eastAsia" w:ascii="宋体" w:hAnsi="宋体"/>
        <w:b/>
        <w:sz w:val="21"/>
        <w:szCs w:val="21"/>
        <w:u w:val="single"/>
        <w:shd w:val="pct10" w:color="auto" w:fill="FFFFFF"/>
        <w:lang w:val="en-US" w:eastAsia="zh-CN"/>
      </w:rPr>
      <w:t xml:space="preserve">                    </w:t>
    </w:r>
    <w:r>
      <w:rPr>
        <w:rFonts w:hint="eastAsia" w:ascii="宋体" w:hAnsi="宋体"/>
        <w:b/>
        <w:sz w:val="21"/>
        <w:szCs w:val="21"/>
        <w:u w:val="single"/>
        <w:shd w:val="pct10" w:color="auto" w:fill="FFFFFF"/>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multilevel"/>
    <w:tmpl w:val="0000000F"/>
    <w:lvl w:ilvl="0" w:tentative="0">
      <w:start w:val="1"/>
      <w:numFmt w:val="decimal"/>
      <w:lvlText w:val="(%1)"/>
      <w:lvlJc w:val="left"/>
      <w:pPr>
        <w:tabs>
          <w:tab w:val="left" w:pos="840"/>
        </w:tabs>
        <w:ind w:left="840" w:hanging="480"/>
      </w:pPr>
      <w:rPr>
        <w:rFonts w:hint="eastAsia"/>
      </w:rPr>
    </w:lvl>
    <w:lvl w:ilvl="1" w:tentative="0">
      <w:start w:val="1"/>
      <w:numFmt w:val="lowerLetter"/>
      <w:lvlText w:val="%2)"/>
      <w:lvlJc w:val="left"/>
      <w:pPr>
        <w:tabs>
          <w:tab w:val="left" w:pos="1200"/>
        </w:tabs>
        <w:ind w:left="1200" w:hanging="420"/>
      </w:pPr>
    </w:lvl>
    <w:lvl w:ilvl="2" w:tentative="0">
      <w:start w:val="1"/>
      <w:numFmt w:val="lowerRoman"/>
      <w:pStyle w:val="34"/>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Y2QwMTk4ZDY0YmEyMjA4ZjRlMTZlNzgxMWNmYmMifQ=="/>
    <w:docVar w:name="KGWebUrl" w:val="http://10.30.0.100:8088/weaver/weaver.file.FileDownloadForNews?uuid=4f6f96d1-bcd5-4656-b365-4c8246b05b95&amp;fileid=246713&amp;type=document&amp;isofficeview=0"/>
    <w:docVar w:name="KSO_WPS_MARK_KEY" w:val="fb4f18da-872f-47bd-b11d-27556a9fbf91"/>
  </w:docVars>
  <w:rsids>
    <w:rsidRoot w:val="4FCC6EBF"/>
    <w:rsid w:val="00062352"/>
    <w:rsid w:val="00083829"/>
    <w:rsid w:val="000A7800"/>
    <w:rsid w:val="002855AA"/>
    <w:rsid w:val="003604A3"/>
    <w:rsid w:val="0036779C"/>
    <w:rsid w:val="004B4C00"/>
    <w:rsid w:val="00605F69"/>
    <w:rsid w:val="006D12EE"/>
    <w:rsid w:val="007D459F"/>
    <w:rsid w:val="008D2765"/>
    <w:rsid w:val="00917492"/>
    <w:rsid w:val="00A04DC4"/>
    <w:rsid w:val="00A7343D"/>
    <w:rsid w:val="00C17A3A"/>
    <w:rsid w:val="00C6664C"/>
    <w:rsid w:val="00C82652"/>
    <w:rsid w:val="00DC46E8"/>
    <w:rsid w:val="00FF5BDA"/>
    <w:rsid w:val="010E4055"/>
    <w:rsid w:val="013744DF"/>
    <w:rsid w:val="014632E9"/>
    <w:rsid w:val="015106CE"/>
    <w:rsid w:val="015A3EEF"/>
    <w:rsid w:val="015E6884"/>
    <w:rsid w:val="017B38BB"/>
    <w:rsid w:val="01CB731F"/>
    <w:rsid w:val="01DE1665"/>
    <w:rsid w:val="021A6C4F"/>
    <w:rsid w:val="02235B22"/>
    <w:rsid w:val="022F6093"/>
    <w:rsid w:val="0250441F"/>
    <w:rsid w:val="0261662C"/>
    <w:rsid w:val="02754CBE"/>
    <w:rsid w:val="0284056C"/>
    <w:rsid w:val="02A4476B"/>
    <w:rsid w:val="02B74C54"/>
    <w:rsid w:val="02DC5445"/>
    <w:rsid w:val="02F0530D"/>
    <w:rsid w:val="0308188F"/>
    <w:rsid w:val="032B09E8"/>
    <w:rsid w:val="03300015"/>
    <w:rsid w:val="0385634A"/>
    <w:rsid w:val="03BB6210"/>
    <w:rsid w:val="03E26269"/>
    <w:rsid w:val="03F83F01"/>
    <w:rsid w:val="04270E0A"/>
    <w:rsid w:val="0431202E"/>
    <w:rsid w:val="0434636C"/>
    <w:rsid w:val="044955CA"/>
    <w:rsid w:val="04823057"/>
    <w:rsid w:val="049E0497"/>
    <w:rsid w:val="04AF33ED"/>
    <w:rsid w:val="05887B39"/>
    <w:rsid w:val="059211F2"/>
    <w:rsid w:val="05B872A3"/>
    <w:rsid w:val="05EE6DAA"/>
    <w:rsid w:val="06135839"/>
    <w:rsid w:val="064C13A1"/>
    <w:rsid w:val="065344DE"/>
    <w:rsid w:val="067526A6"/>
    <w:rsid w:val="069A210C"/>
    <w:rsid w:val="06A51135"/>
    <w:rsid w:val="06B80B23"/>
    <w:rsid w:val="06D93748"/>
    <w:rsid w:val="07100A7A"/>
    <w:rsid w:val="072E58CA"/>
    <w:rsid w:val="0739034C"/>
    <w:rsid w:val="0752118F"/>
    <w:rsid w:val="0753050F"/>
    <w:rsid w:val="077F1302"/>
    <w:rsid w:val="07CF4038"/>
    <w:rsid w:val="07DB0BF3"/>
    <w:rsid w:val="07DE2DD0"/>
    <w:rsid w:val="07E20E7C"/>
    <w:rsid w:val="08004C74"/>
    <w:rsid w:val="08264B89"/>
    <w:rsid w:val="083B347B"/>
    <w:rsid w:val="08970701"/>
    <w:rsid w:val="08CB4122"/>
    <w:rsid w:val="08CE0793"/>
    <w:rsid w:val="09077181"/>
    <w:rsid w:val="091C4A6B"/>
    <w:rsid w:val="09216B15"/>
    <w:rsid w:val="09436A8B"/>
    <w:rsid w:val="09581E0B"/>
    <w:rsid w:val="097A66AE"/>
    <w:rsid w:val="098230E1"/>
    <w:rsid w:val="09B94817"/>
    <w:rsid w:val="09D32DB0"/>
    <w:rsid w:val="0A960E3D"/>
    <w:rsid w:val="0ABA0FCF"/>
    <w:rsid w:val="0AC51722"/>
    <w:rsid w:val="0ACF27DA"/>
    <w:rsid w:val="0AD025A1"/>
    <w:rsid w:val="0AD02CD3"/>
    <w:rsid w:val="0AD34999"/>
    <w:rsid w:val="0AF67D60"/>
    <w:rsid w:val="0B4D1E43"/>
    <w:rsid w:val="0B5F1B77"/>
    <w:rsid w:val="0BC81863"/>
    <w:rsid w:val="0C05627A"/>
    <w:rsid w:val="0C2F779B"/>
    <w:rsid w:val="0C34090D"/>
    <w:rsid w:val="0C511B71"/>
    <w:rsid w:val="0C563A6F"/>
    <w:rsid w:val="0C700313"/>
    <w:rsid w:val="0C8949AF"/>
    <w:rsid w:val="0C956CED"/>
    <w:rsid w:val="0CBC78B3"/>
    <w:rsid w:val="0CF167FE"/>
    <w:rsid w:val="0D23083A"/>
    <w:rsid w:val="0D260E6C"/>
    <w:rsid w:val="0D2B412D"/>
    <w:rsid w:val="0D2E1801"/>
    <w:rsid w:val="0D587038"/>
    <w:rsid w:val="0D733C3B"/>
    <w:rsid w:val="0D7F3E0A"/>
    <w:rsid w:val="0D8A0C40"/>
    <w:rsid w:val="0DC13560"/>
    <w:rsid w:val="0DEA2F8D"/>
    <w:rsid w:val="0E1D44A1"/>
    <w:rsid w:val="0E2826F4"/>
    <w:rsid w:val="0E557D0D"/>
    <w:rsid w:val="0E6361CE"/>
    <w:rsid w:val="0E671C03"/>
    <w:rsid w:val="0E8F62FB"/>
    <w:rsid w:val="0EBF3339"/>
    <w:rsid w:val="0EC95C85"/>
    <w:rsid w:val="0EE40E63"/>
    <w:rsid w:val="0EF3685E"/>
    <w:rsid w:val="0F0D4FCE"/>
    <w:rsid w:val="0F5B2655"/>
    <w:rsid w:val="0F661726"/>
    <w:rsid w:val="0F8B4DD2"/>
    <w:rsid w:val="0F8E53AD"/>
    <w:rsid w:val="0FA77B07"/>
    <w:rsid w:val="0FB646F6"/>
    <w:rsid w:val="0FC65D20"/>
    <w:rsid w:val="0FE6229B"/>
    <w:rsid w:val="10042CED"/>
    <w:rsid w:val="103709CC"/>
    <w:rsid w:val="10442147"/>
    <w:rsid w:val="10765998"/>
    <w:rsid w:val="107D1B1C"/>
    <w:rsid w:val="10974DEB"/>
    <w:rsid w:val="109F7528"/>
    <w:rsid w:val="10BE7435"/>
    <w:rsid w:val="10C0475F"/>
    <w:rsid w:val="10E943BC"/>
    <w:rsid w:val="110C2556"/>
    <w:rsid w:val="112B3822"/>
    <w:rsid w:val="11366ED6"/>
    <w:rsid w:val="114333A1"/>
    <w:rsid w:val="114809B7"/>
    <w:rsid w:val="11664401"/>
    <w:rsid w:val="11731AC7"/>
    <w:rsid w:val="117874EE"/>
    <w:rsid w:val="118E018F"/>
    <w:rsid w:val="11A149CF"/>
    <w:rsid w:val="11A629AF"/>
    <w:rsid w:val="12011292"/>
    <w:rsid w:val="120E7E53"/>
    <w:rsid w:val="121277D8"/>
    <w:rsid w:val="12462301"/>
    <w:rsid w:val="125A6B8B"/>
    <w:rsid w:val="127557DC"/>
    <w:rsid w:val="12864CD4"/>
    <w:rsid w:val="128772F2"/>
    <w:rsid w:val="12904E13"/>
    <w:rsid w:val="12A460C1"/>
    <w:rsid w:val="12EB3CF0"/>
    <w:rsid w:val="12FC6E07"/>
    <w:rsid w:val="13132CD8"/>
    <w:rsid w:val="131C20FB"/>
    <w:rsid w:val="132C09B2"/>
    <w:rsid w:val="1334536D"/>
    <w:rsid w:val="13B16CE7"/>
    <w:rsid w:val="13D13F54"/>
    <w:rsid w:val="13D43E10"/>
    <w:rsid w:val="14123963"/>
    <w:rsid w:val="14263231"/>
    <w:rsid w:val="144F2F17"/>
    <w:rsid w:val="14655DD2"/>
    <w:rsid w:val="14875E17"/>
    <w:rsid w:val="148C7BEE"/>
    <w:rsid w:val="149547D4"/>
    <w:rsid w:val="14991C55"/>
    <w:rsid w:val="149E4146"/>
    <w:rsid w:val="14B06F9F"/>
    <w:rsid w:val="14B52807"/>
    <w:rsid w:val="14CE45A1"/>
    <w:rsid w:val="14D67BAE"/>
    <w:rsid w:val="150A4901"/>
    <w:rsid w:val="1529227B"/>
    <w:rsid w:val="15785D0F"/>
    <w:rsid w:val="15B1349B"/>
    <w:rsid w:val="15F53098"/>
    <w:rsid w:val="15F952B1"/>
    <w:rsid w:val="162437C2"/>
    <w:rsid w:val="16481B85"/>
    <w:rsid w:val="16846935"/>
    <w:rsid w:val="168F3B86"/>
    <w:rsid w:val="16E55624"/>
    <w:rsid w:val="16F07896"/>
    <w:rsid w:val="176F3141"/>
    <w:rsid w:val="1772678E"/>
    <w:rsid w:val="17A9541A"/>
    <w:rsid w:val="17D15BAA"/>
    <w:rsid w:val="17EC6E34"/>
    <w:rsid w:val="17EE05AF"/>
    <w:rsid w:val="18202B35"/>
    <w:rsid w:val="18596009"/>
    <w:rsid w:val="186407CC"/>
    <w:rsid w:val="188449CB"/>
    <w:rsid w:val="18922E62"/>
    <w:rsid w:val="18A36ED7"/>
    <w:rsid w:val="18AB315F"/>
    <w:rsid w:val="18BE612E"/>
    <w:rsid w:val="18C31D19"/>
    <w:rsid w:val="18D36537"/>
    <w:rsid w:val="18E86D07"/>
    <w:rsid w:val="19143D87"/>
    <w:rsid w:val="192234F1"/>
    <w:rsid w:val="19266750"/>
    <w:rsid w:val="19573E8D"/>
    <w:rsid w:val="19CE0933"/>
    <w:rsid w:val="19E25E4D"/>
    <w:rsid w:val="1A19005A"/>
    <w:rsid w:val="1A2F0CF7"/>
    <w:rsid w:val="1A6670E8"/>
    <w:rsid w:val="1A6A7716"/>
    <w:rsid w:val="1AA07FA2"/>
    <w:rsid w:val="1AA41354"/>
    <w:rsid w:val="1AB05F4B"/>
    <w:rsid w:val="1AF20311"/>
    <w:rsid w:val="1B102A1E"/>
    <w:rsid w:val="1B147125"/>
    <w:rsid w:val="1B2E1F86"/>
    <w:rsid w:val="1B4A1EFB"/>
    <w:rsid w:val="1B6E6F29"/>
    <w:rsid w:val="1B9767C0"/>
    <w:rsid w:val="1B9E2247"/>
    <w:rsid w:val="1BC97A27"/>
    <w:rsid w:val="1BE0235B"/>
    <w:rsid w:val="1C112A19"/>
    <w:rsid w:val="1C1C6592"/>
    <w:rsid w:val="1C346708"/>
    <w:rsid w:val="1C406E5A"/>
    <w:rsid w:val="1C44381C"/>
    <w:rsid w:val="1C5B5A42"/>
    <w:rsid w:val="1C654D74"/>
    <w:rsid w:val="1CC31152"/>
    <w:rsid w:val="1CD930AB"/>
    <w:rsid w:val="1CEA734F"/>
    <w:rsid w:val="1D2C234D"/>
    <w:rsid w:val="1D4F1A4B"/>
    <w:rsid w:val="1D5E12C5"/>
    <w:rsid w:val="1D5F77B4"/>
    <w:rsid w:val="1D7E341A"/>
    <w:rsid w:val="1D921938"/>
    <w:rsid w:val="1D9A07EC"/>
    <w:rsid w:val="1DAD6CAB"/>
    <w:rsid w:val="1DDD63D4"/>
    <w:rsid w:val="1DEA1F6F"/>
    <w:rsid w:val="1DFE0BB8"/>
    <w:rsid w:val="1DFE4FC6"/>
    <w:rsid w:val="1E3A2F21"/>
    <w:rsid w:val="1E5769A7"/>
    <w:rsid w:val="1EAB7E95"/>
    <w:rsid w:val="1EDA0E63"/>
    <w:rsid w:val="1EE47136"/>
    <w:rsid w:val="1EF24C21"/>
    <w:rsid w:val="1EF83A03"/>
    <w:rsid w:val="1F0514E0"/>
    <w:rsid w:val="1F242012"/>
    <w:rsid w:val="1F460C2C"/>
    <w:rsid w:val="1F66307C"/>
    <w:rsid w:val="1F6D49F4"/>
    <w:rsid w:val="1F901D11"/>
    <w:rsid w:val="1FE12702"/>
    <w:rsid w:val="20026FEE"/>
    <w:rsid w:val="20176124"/>
    <w:rsid w:val="20260216"/>
    <w:rsid w:val="20322137"/>
    <w:rsid w:val="2062104A"/>
    <w:rsid w:val="20942228"/>
    <w:rsid w:val="20BD4F1E"/>
    <w:rsid w:val="20CE2C87"/>
    <w:rsid w:val="212B632B"/>
    <w:rsid w:val="215A2762"/>
    <w:rsid w:val="21751945"/>
    <w:rsid w:val="218B0C84"/>
    <w:rsid w:val="219524B3"/>
    <w:rsid w:val="21D05231"/>
    <w:rsid w:val="21EB7268"/>
    <w:rsid w:val="22007B17"/>
    <w:rsid w:val="22120030"/>
    <w:rsid w:val="221424D5"/>
    <w:rsid w:val="22383F69"/>
    <w:rsid w:val="22436FFE"/>
    <w:rsid w:val="224C4F02"/>
    <w:rsid w:val="224E6146"/>
    <w:rsid w:val="22592EB4"/>
    <w:rsid w:val="225F7C29"/>
    <w:rsid w:val="2265586D"/>
    <w:rsid w:val="226A4C31"/>
    <w:rsid w:val="227513B9"/>
    <w:rsid w:val="22844DD4"/>
    <w:rsid w:val="228A5F79"/>
    <w:rsid w:val="228D673A"/>
    <w:rsid w:val="228E6FE6"/>
    <w:rsid w:val="22B129B5"/>
    <w:rsid w:val="22CC1448"/>
    <w:rsid w:val="22CD6AE0"/>
    <w:rsid w:val="232903AC"/>
    <w:rsid w:val="232E7C5E"/>
    <w:rsid w:val="233B1985"/>
    <w:rsid w:val="234533B0"/>
    <w:rsid w:val="235A0020"/>
    <w:rsid w:val="23700C5B"/>
    <w:rsid w:val="23957A8C"/>
    <w:rsid w:val="23A303C0"/>
    <w:rsid w:val="23D83E1C"/>
    <w:rsid w:val="23DA5DE6"/>
    <w:rsid w:val="243512C2"/>
    <w:rsid w:val="244871F4"/>
    <w:rsid w:val="2453247D"/>
    <w:rsid w:val="24B81E4F"/>
    <w:rsid w:val="24D01A55"/>
    <w:rsid w:val="24D131D2"/>
    <w:rsid w:val="24D740D4"/>
    <w:rsid w:val="25070E5D"/>
    <w:rsid w:val="250E3F9A"/>
    <w:rsid w:val="251067E2"/>
    <w:rsid w:val="25257535"/>
    <w:rsid w:val="257302A1"/>
    <w:rsid w:val="25BA7C7E"/>
    <w:rsid w:val="25E25090"/>
    <w:rsid w:val="25E80121"/>
    <w:rsid w:val="25E91104"/>
    <w:rsid w:val="25F65B19"/>
    <w:rsid w:val="2611248D"/>
    <w:rsid w:val="26355556"/>
    <w:rsid w:val="26415CA9"/>
    <w:rsid w:val="26CF39CD"/>
    <w:rsid w:val="26DA348F"/>
    <w:rsid w:val="26F26E65"/>
    <w:rsid w:val="270C05A6"/>
    <w:rsid w:val="272F2675"/>
    <w:rsid w:val="276500BD"/>
    <w:rsid w:val="278F0324"/>
    <w:rsid w:val="27A3654F"/>
    <w:rsid w:val="27B96EF6"/>
    <w:rsid w:val="27C44B96"/>
    <w:rsid w:val="27EE3F20"/>
    <w:rsid w:val="27F84A8D"/>
    <w:rsid w:val="282B602A"/>
    <w:rsid w:val="2852419D"/>
    <w:rsid w:val="28795BCE"/>
    <w:rsid w:val="28821970"/>
    <w:rsid w:val="2895052E"/>
    <w:rsid w:val="28990A26"/>
    <w:rsid w:val="28CB245E"/>
    <w:rsid w:val="28D10B68"/>
    <w:rsid w:val="28DC72D7"/>
    <w:rsid w:val="28E5331F"/>
    <w:rsid w:val="29235B3A"/>
    <w:rsid w:val="292506DA"/>
    <w:rsid w:val="29491FC1"/>
    <w:rsid w:val="29693E94"/>
    <w:rsid w:val="29C04727"/>
    <w:rsid w:val="29D7170B"/>
    <w:rsid w:val="2A0C569A"/>
    <w:rsid w:val="2A4809EE"/>
    <w:rsid w:val="2A4D31D6"/>
    <w:rsid w:val="2A6571D9"/>
    <w:rsid w:val="2A7E571E"/>
    <w:rsid w:val="2AAE4E56"/>
    <w:rsid w:val="2AD73080"/>
    <w:rsid w:val="2AEC45CD"/>
    <w:rsid w:val="2AFF1E1F"/>
    <w:rsid w:val="2B027310"/>
    <w:rsid w:val="2B400BF9"/>
    <w:rsid w:val="2B9B40AD"/>
    <w:rsid w:val="2BA567C6"/>
    <w:rsid w:val="2BCC4A54"/>
    <w:rsid w:val="2BDB26FC"/>
    <w:rsid w:val="2BEE68D3"/>
    <w:rsid w:val="2C377BD5"/>
    <w:rsid w:val="2C7A6F87"/>
    <w:rsid w:val="2CD06CAF"/>
    <w:rsid w:val="2CEC5EAA"/>
    <w:rsid w:val="2CFC5C4D"/>
    <w:rsid w:val="2D085E3D"/>
    <w:rsid w:val="2D182000"/>
    <w:rsid w:val="2D2A3FB9"/>
    <w:rsid w:val="2D386C8A"/>
    <w:rsid w:val="2D744BB6"/>
    <w:rsid w:val="2DB91AFF"/>
    <w:rsid w:val="2DC07893"/>
    <w:rsid w:val="2DC53663"/>
    <w:rsid w:val="2DCC2C44"/>
    <w:rsid w:val="2DEA4E78"/>
    <w:rsid w:val="2DF763C5"/>
    <w:rsid w:val="2E2E745B"/>
    <w:rsid w:val="2E3F2682"/>
    <w:rsid w:val="2E4B3B69"/>
    <w:rsid w:val="2E545958"/>
    <w:rsid w:val="2E56075F"/>
    <w:rsid w:val="2E67306A"/>
    <w:rsid w:val="2E7806D6"/>
    <w:rsid w:val="2E815544"/>
    <w:rsid w:val="2E903C71"/>
    <w:rsid w:val="2F067A90"/>
    <w:rsid w:val="2F17664F"/>
    <w:rsid w:val="2FD23267"/>
    <w:rsid w:val="2FD41943"/>
    <w:rsid w:val="2FEC4A36"/>
    <w:rsid w:val="30060523"/>
    <w:rsid w:val="30201025"/>
    <w:rsid w:val="30607673"/>
    <w:rsid w:val="30696528"/>
    <w:rsid w:val="306D3DDA"/>
    <w:rsid w:val="306E3B3E"/>
    <w:rsid w:val="30C63EBF"/>
    <w:rsid w:val="30EF2CEC"/>
    <w:rsid w:val="30F845D0"/>
    <w:rsid w:val="31006D20"/>
    <w:rsid w:val="315A16C6"/>
    <w:rsid w:val="31AB491E"/>
    <w:rsid w:val="31E30A1D"/>
    <w:rsid w:val="324E76AD"/>
    <w:rsid w:val="325D3E6B"/>
    <w:rsid w:val="32711FC2"/>
    <w:rsid w:val="329B7167"/>
    <w:rsid w:val="32AD108D"/>
    <w:rsid w:val="32F53FB6"/>
    <w:rsid w:val="3312386F"/>
    <w:rsid w:val="33134E71"/>
    <w:rsid w:val="331704C4"/>
    <w:rsid w:val="332A4F71"/>
    <w:rsid w:val="333F5C66"/>
    <w:rsid w:val="336636C6"/>
    <w:rsid w:val="339E0904"/>
    <w:rsid w:val="33A56CB2"/>
    <w:rsid w:val="33B96B1E"/>
    <w:rsid w:val="33E12879"/>
    <w:rsid w:val="33FA18E0"/>
    <w:rsid w:val="341715C0"/>
    <w:rsid w:val="341850B2"/>
    <w:rsid w:val="34466A36"/>
    <w:rsid w:val="348176BF"/>
    <w:rsid w:val="34840FC0"/>
    <w:rsid w:val="34880F47"/>
    <w:rsid w:val="34951407"/>
    <w:rsid w:val="349618B6"/>
    <w:rsid w:val="35125BC0"/>
    <w:rsid w:val="35446C9F"/>
    <w:rsid w:val="35551771"/>
    <w:rsid w:val="3619279E"/>
    <w:rsid w:val="366A0B52"/>
    <w:rsid w:val="36B257ED"/>
    <w:rsid w:val="36B67FED"/>
    <w:rsid w:val="36E52680"/>
    <w:rsid w:val="36F03D42"/>
    <w:rsid w:val="376A42C6"/>
    <w:rsid w:val="37FA03AE"/>
    <w:rsid w:val="38133EA7"/>
    <w:rsid w:val="38350B0D"/>
    <w:rsid w:val="383B4C4E"/>
    <w:rsid w:val="38795776"/>
    <w:rsid w:val="387F2EB3"/>
    <w:rsid w:val="38867670"/>
    <w:rsid w:val="38896D41"/>
    <w:rsid w:val="38AA5930"/>
    <w:rsid w:val="38BB5D8F"/>
    <w:rsid w:val="38C369F1"/>
    <w:rsid w:val="38C70290"/>
    <w:rsid w:val="38CE5AC2"/>
    <w:rsid w:val="38F5642C"/>
    <w:rsid w:val="395712EB"/>
    <w:rsid w:val="39810732"/>
    <w:rsid w:val="39A20CFD"/>
    <w:rsid w:val="39D47777"/>
    <w:rsid w:val="39F07CBA"/>
    <w:rsid w:val="3A1942E6"/>
    <w:rsid w:val="3A4C3187"/>
    <w:rsid w:val="3A9C74FA"/>
    <w:rsid w:val="3AFA4B76"/>
    <w:rsid w:val="3B077069"/>
    <w:rsid w:val="3B2A360B"/>
    <w:rsid w:val="3B4958D4"/>
    <w:rsid w:val="3B6D31FB"/>
    <w:rsid w:val="3B7641EF"/>
    <w:rsid w:val="3B7D31C1"/>
    <w:rsid w:val="3B9D62C0"/>
    <w:rsid w:val="3BA73C48"/>
    <w:rsid w:val="3BA74A92"/>
    <w:rsid w:val="3BD22E87"/>
    <w:rsid w:val="3BDC0A1E"/>
    <w:rsid w:val="3BE86E9B"/>
    <w:rsid w:val="3C3B43F2"/>
    <w:rsid w:val="3C634773"/>
    <w:rsid w:val="3C801D8D"/>
    <w:rsid w:val="3CA76FED"/>
    <w:rsid w:val="3CBC5107"/>
    <w:rsid w:val="3CC2289A"/>
    <w:rsid w:val="3D5058DE"/>
    <w:rsid w:val="3D516CC2"/>
    <w:rsid w:val="3D597924"/>
    <w:rsid w:val="3D5B49A6"/>
    <w:rsid w:val="3D69677B"/>
    <w:rsid w:val="3D6D517E"/>
    <w:rsid w:val="3DBE051E"/>
    <w:rsid w:val="3DED1554"/>
    <w:rsid w:val="3DFE0BF8"/>
    <w:rsid w:val="3E175815"/>
    <w:rsid w:val="3E7569E0"/>
    <w:rsid w:val="3E7E1019"/>
    <w:rsid w:val="3E8C52F5"/>
    <w:rsid w:val="3EAA48DB"/>
    <w:rsid w:val="3ED23E32"/>
    <w:rsid w:val="3EE86C7F"/>
    <w:rsid w:val="3F0F473E"/>
    <w:rsid w:val="3F1B1C27"/>
    <w:rsid w:val="3F2C3542"/>
    <w:rsid w:val="3FB452E6"/>
    <w:rsid w:val="3FC92B3F"/>
    <w:rsid w:val="40181D19"/>
    <w:rsid w:val="403703F1"/>
    <w:rsid w:val="405745A2"/>
    <w:rsid w:val="405C6FCF"/>
    <w:rsid w:val="4093654F"/>
    <w:rsid w:val="40AB2699"/>
    <w:rsid w:val="40D75730"/>
    <w:rsid w:val="411F605D"/>
    <w:rsid w:val="412B15D8"/>
    <w:rsid w:val="4138519E"/>
    <w:rsid w:val="414300BE"/>
    <w:rsid w:val="41550197"/>
    <w:rsid w:val="4157061F"/>
    <w:rsid w:val="415919E2"/>
    <w:rsid w:val="4187426E"/>
    <w:rsid w:val="41E9571B"/>
    <w:rsid w:val="42044303"/>
    <w:rsid w:val="420F2CA7"/>
    <w:rsid w:val="4214206C"/>
    <w:rsid w:val="4225618B"/>
    <w:rsid w:val="423F5AAE"/>
    <w:rsid w:val="42452A9C"/>
    <w:rsid w:val="42602A72"/>
    <w:rsid w:val="42621029"/>
    <w:rsid w:val="429D0698"/>
    <w:rsid w:val="42A72ABD"/>
    <w:rsid w:val="42C910A8"/>
    <w:rsid w:val="42EB5923"/>
    <w:rsid w:val="43291B47"/>
    <w:rsid w:val="433B1755"/>
    <w:rsid w:val="43402B23"/>
    <w:rsid w:val="435D639D"/>
    <w:rsid w:val="43D91614"/>
    <w:rsid w:val="43E066A9"/>
    <w:rsid w:val="43F43E69"/>
    <w:rsid w:val="43F74E68"/>
    <w:rsid w:val="441D78FE"/>
    <w:rsid w:val="443C31F9"/>
    <w:rsid w:val="445C6678"/>
    <w:rsid w:val="446961BB"/>
    <w:rsid w:val="44DD79AD"/>
    <w:rsid w:val="44F41DF6"/>
    <w:rsid w:val="45010FCD"/>
    <w:rsid w:val="4518268A"/>
    <w:rsid w:val="451B70E9"/>
    <w:rsid w:val="45345978"/>
    <w:rsid w:val="45580CF0"/>
    <w:rsid w:val="45801017"/>
    <w:rsid w:val="458F46CB"/>
    <w:rsid w:val="459260C9"/>
    <w:rsid w:val="45B1481F"/>
    <w:rsid w:val="45D73ADC"/>
    <w:rsid w:val="46374E29"/>
    <w:rsid w:val="46391A6F"/>
    <w:rsid w:val="464E529E"/>
    <w:rsid w:val="46510AB5"/>
    <w:rsid w:val="46B506E4"/>
    <w:rsid w:val="47144F11"/>
    <w:rsid w:val="472540EA"/>
    <w:rsid w:val="473309CA"/>
    <w:rsid w:val="474972AB"/>
    <w:rsid w:val="475A6773"/>
    <w:rsid w:val="4765136A"/>
    <w:rsid w:val="47B15CFC"/>
    <w:rsid w:val="482079BC"/>
    <w:rsid w:val="48376382"/>
    <w:rsid w:val="4840005F"/>
    <w:rsid w:val="489B5933"/>
    <w:rsid w:val="48C53397"/>
    <w:rsid w:val="48DB27BD"/>
    <w:rsid w:val="49281B4A"/>
    <w:rsid w:val="493045B5"/>
    <w:rsid w:val="493443AD"/>
    <w:rsid w:val="493966AB"/>
    <w:rsid w:val="493C4382"/>
    <w:rsid w:val="4953090A"/>
    <w:rsid w:val="4968263F"/>
    <w:rsid w:val="49786DDF"/>
    <w:rsid w:val="498F24C4"/>
    <w:rsid w:val="49910E1C"/>
    <w:rsid w:val="49C50A1B"/>
    <w:rsid w:val="4A1E75ED"/>
    <w:rsid w:val="4A5E2A1E"/>
    <w:rsid w:val="4A643543"/>
    <w:rsid w:val="4ABA126D"/>
    <w:rsid w:val="4AE16011"/>
    <w:rsid w:val="4AEF3C13"/>
    <w:rsid w:val="4B143996"/>
    <w:rsid w:val="4BA4499E"/>
    <w:rsid w:val="4BA85FAF"/>
    <w:rsid w:val="4BBE6A0C"/>
    <w:rsid w:val="4BD27220"/>
    <w:rsid w:val="4BEA27BB"/>
    <w:rsid w:val="4C6F310B"/>
    <w:rsid w:val="4CBE77A4"/>
    <w:rsid w:val="4CC14FC0"/>
    <w:rsid w:val="4CD64AED"/>
    <w:rsid w:val="4CD947ED"/>
    <w:rsid w:val="4CFA1B21"/>
    <w:rsid w:val="4CFD744F"/>
    <w:rsid w:val="4D0A2F51"/>
    <w:rsid w:val="4D9549A9"/>
    <w:rsid w:val="4D956757"/>
    <w:rsid w:val="4DC31516"/>
    <w:rsid w:val="4DCB3F26"/>
    <w:rsid w:val="4DE7630B"/>
    <w:rsid w:val="4E3813A3"/>
    <w:rsid w:val="4E3F5248"/>
    <w:rsid w:val="4E4B3EEE"/>
    <w:rsid w:val="4E895320"/>
    <w:rsid w:val="4EA56E6D"/>
    <w:rsid w:val="4EA66D9B"/>
    <w:rsid w:val="4EEC05F8"/>
    <w:rsid w:val="4F082F58"/>
    <w:rsid w:val="4F147E17"/>
    <w:rsid w:val="4F204746"/>
    <w:rsid w:val="4F2D6487"/>
    <w:rsid w:val="4F387DBE"/>
    <w:rsid w:val="4F4B109F"/>
    <w:rsid w:val="4F521DA4"/>
    <w:rsid w:val="4F7C5A76"/>
    <w:rsid w:val="4F9842DC"/>
    <w:rsid w:val="4F9F1B0F"/>
    <w:rsid w:val="4FCC6EBF"/>
    <w:rsid w:val="4FDD43E5"/>
    <w:rsid w:val="4FF15F7D"/>
    <w:rsid w:val="500535BE"/>
    <w:rsid w:val="50121344"/>
    <w:rsid w:val="501A6CD6"/>
    <w:rsid w:val="506059D9"/>
    <w:rsid w:val="50676152"/>
    <w:rsid w:val="50A13601"/>
    <w:rsid w:val="51346287"/>
    <w:rsid w:val="5145344C"/>
    <w:rsid w:val="51714DE5"/>
    <w:rsid w:val="519138FA"/>
    <w:rsid w:val="51B178D7"/>
    <w:rsid w:val="51CB0999"/>
    <w:rsid w:val="51D81BB4"/>
    <w:rsid w:val="51FD7691"/>
    <w:rsid w:val="5201260D"/>
    <w:rsid w:val="5210462B"/>
    <w:rsid w:val="52135445"/>
    <w:rsid w:val="526A01B2"/>
    <w:rsid w:val="528D20F2"/>
    <w:rsid w:val="52950FA7"/>
    <w:rsid w:val="52B140BE"/>
    <w:rsid w:val="52C06024"/>
    <w:rsid w:val="52E67042"/>
    <w:rsid w:val="52EB69BC"/>
    <w:rsid w:val="531745EB"/>
    <w:rsid w:val="5332491A"/>
    <w:rsid w:val="5338205E"/>
    <w:rsid w:val="53693316"/>
    <w:rsid w:val="5384589E"/>
    <w:rsid w:val="53B042EA"/>
    <w:rsid w:val="53C04C67"/>
    <w:rsid w:val="53E27730"/>
    <w:rsid w:val="540127F7"/>
    <w:rsid w:val="541F1527"/>
    <w:rsid w:val="543835BD"/>
    <w:rsid w:val="545A6210"/>
    <w:rsid w:val="54613836"/>
    <w:rsid w:val="54AD6AF1"/>
    <w:rsid w:val="54AF522D"/>
    <w:rsid w:val="54B43966"/>
    <w:rsid w:val="54B716A8"/>
    <w:rsid w:val="55286102"/>
    <w:rsid w:val="552F123F"/>
    <w:rsid w:val="556C462A"/>
    <w:rsid w:val="559D264C"/>
    <w:rsid w:val="55A43F64"/>
    <w:rsid w:val="55B779D8"/>
    <w:rsid w:val="55D4562D"/>
    <w:rsid w:val="55FC3DBB"/>
    <w:rsid w:val="561862F0"/>
    <w:rsid w:val="56216D43"/>
    <w:rsid w:val="5689613E"/>
    <w:rsid w:val="568D3207"/>
    <w:rsid w:val="569B34B3"/>
    <w:rsid w:val="56F73FDE"/>
    <w:rsid w:val="57014224"/>
    <w:rsid w:val="571C73D5"/>
    <w:rsid w:val="572D5C52"/>
    <w:rsid w:val="574C1591"/>
    <w:rsid w:val="5756111B"/>
    <w:rsid w:val="57592C33"/>
    <w:rsid w:val="575E5615"/>
    <w:rsid w:val="577C2E20"/>
    <w:rsid w:val="57A25E93"/>
    <w:rsid w:val="57B10631"/>
    <w:rsid w:val="57B65891"/>
    <w:rsid w:val="57BD0D84"/>
    <w:rsid w:val="57C2639A"/>
    <w:rsid w:val="57C81B1B"/>
    <w:rsid w:val="57CB01DE"/>
    <w:rsid w:val="57F66044"/>
    <w:rsid w:val="57FF53A4"/>
    <w:rsid w:val="582232DD"/>
    <w:rsid w:val="5830465A"/>
    <w:rsid w:val="5868255E"/>
    <w:rsid w:val="58914A48"/>
    <w:rsid w:val="58B05101"/>
    <w:rsid w:val="58FC1D80"/>
    <w:rsid w:val="595E0DEA"/>
    <w:rsid w:val="598571A9"/>
    <w:rsid w:val="59883613"/>
    <w:rsid w:val="598C49FD"/>
    <w:rsid w:val="59990616"/>
    <w:rsid w:val="599C2A7B"/>
    <w:rsid w:val="59A4727E"/>
    <w:rsid w:val="59B117A5"/>
    <w:rsid w:val="59BA0405"/>
    <w:rsid w:val="59EF689B"/>
    <w:rsid w:val="59FB5161"/>
    <w:rsid w:val="5A0608FA"/>
    <w:rsid w:val="5A0E3B19"/>
    <w:rsid w:val="5A1530F9"/>
    <w:rsid w:val="5A290952"/>
    <w:rsid w:val="5A3D0B5E"/>
    <w:rsid w:val="5A5B0D2C"/>
    <w:rsid w:val="5A7826EB"/>
    <w:rsid w:val="5A867D4E"/>
    <w:rsid w:val="5A9B4EE8"/>
    <w:rsid w:val="5A9E591A"/>
    <w:rsid w:val="5AAE386F"/>
    <w:rsid w:val="5AB55153"/>
    <w:rsid w:val="5ACA2A67"/>
    <w:rsid w:val="5B1220AB"/>
    <w:rsid w:val="5BB21B48"/>
    <w:rsid w:val="5BBE60A0"/>
    <w:rsid w:val="5BE13D4C"/>
    <w:rsid w:val="5C292E8C"/>
    <w:rsid w:val="5C921E92"/>
    <w:rsid w:val="5CA0283D"/>
    <w:rsid w:val="5CED210B"/>
    <w:rsid w:val="5CF30AA7"/>
    <w:rsid w:val="5D235E58"/>
    <w:rsid w:val="5D3513BC"/>
    <w:rsid w:val="5D57169A"/>
    <w:rsid w:val="5D612891"/>
    <w:rsid w:val="5D7E6B14"/>
    <w:rsid w:val="5D8B0E4F"/>
    <w:rsid w:val="5DAA683B"/>
    <w:rsid w:val="5DAD36A2"/>
    <w:rsid w:val="5DEA03F9"/>
    <w:rsid w:val="5DEB4A20"/>
    <w:rsid w:val="5DEC6326"/>
    <w:rsid w:val="5E1E00A2"/>
    <w:rsid w:val="5E5D506F"/>
    <w:rsid w:val="5E6437E8"/>
    <w:rsid w:val="5E6E2DD8"/>
    <w:rsid w:val="5E7B0A10"/>
    <w:rsid w:val="5ED34ABA"/>
    <w:rsid w:val="5F574BF4"/>
    <w:rsid w:val="5F697A43"/>
    <w:rsid w:val="5F9D10ED"/>
    <w:rsid w:val="5FB0773B"/>
    <w:rsid w:val="5FB711BF"/>
    <w:rsid w:val="5FBC5DC5"/>
    <w:rsid w:val="5FCA380B"/>
    <w:rsid w:val="5FD14E7D"/>
    <w:rsid w:val="5FDD3055"/>
    <w:rsid w:val="5FDF0EC5"/>
    <w:rsid w:val="60497559"/>
    <w:rsid w:val="605A3091"/>
    <w:rsid w:val="606E2D56"/>
    <w:rsid w:val="60765F74"/>
    <w:rsid w:val="60AA764A"/>
    <w:rsid w:val="60F17CF0"/>
    <w:rsid w:val="60F670B5"/>
    <w:rsid w:val="61070780"/>
    <w:rsid w:val="61616C50"/>
    <w:rsid w:val="61686204"/>
    <w:rsid w:val="61731EE4"/>
    <w:rsid w:val="6185210C"/>
    <w:rsid w:val="61C76C44"/>
    <w:rsid w:val="61FE5408"/>
    <w:rsid w:val="62105334"/>
    <w:rsid w:val="622348D7"/>
    <w:rsid w:val="627322FB"/>
    <w:rsid w:val="62AF39BF"/>
    <w:rsid w:val="62C54F90"/>
    <w:rsid w:val="63101DE8"/>
    <w:rsid w:val="63402869"/>
    <w:rsid w:val="63D176BD"/>
    <w:rsid w:val="63E94FFB"/>
    <w:rsid w:val="63EF6D90"/>
    <w:rsid w:val="641066DF"/>
    <w:rsid w:val="64191D1E"/>
    <w:rsid w:val="641F4B74"/>
    <w:rsid w:val="644E72F7"/>
    <w:rsid w:val="645A16F9"/>
    <w:rsid w:val="647903B9"/>
    <w:rsid w:val="64BF7EED"/>
    <w:rsid w:val="64C319A4"/>
    <w:rsid w:val="64DE6447"/>
    <w:rsid w:val="652F144C"/>
    <w:rsid w:val="65385EEE"/>
    <w:rsid w:val="656D7047"/>
    <w:rsid w:val="65705290"/>
    <w:rsid w:val="65DD6770"/>
    <w:rsid w:val="6604349E"/>
    <w:rsid w:val="662839D3"/>
    <w:rsid w:val="662A244F"/>
    <w:rsid w:val="6660394E"/>
    <w:rsid w:val="66782EA9"/>
    <w:rsid w:val="669473E5"/>
    <w:rsid w:val="66AE0B8E"/>
    <w:rsid w:val="66D021E1"/>
    <w:rsid w:val="66E16111"/>
    <w:rsid w:val="67322330"/>
    <w:rsid w:val="674A63AC"/>
    <w:rsid w:val="67793EBD"/>
    <w:rsid w:val="6784138D"/>
    <w:rsid w:val="67986EED"/>
    <w:rsid w:val="682664D1"/>
    <w:rsid w:val="68387AED"/>
    <w:rsid w:val="6851404F"/>
    <w:rsid w:val="688B2487"/>
    <w:rsid w:val="689618A9"/>
    <w:rsid w:val="69025032"/>
    <w:rsid w:val="694503FF"/>
    <w:rsid w:val="694D4208"/>
    <w:rsid w:val="698F1CA9"/>
    <w:rsid w:val="69912070"/>
    <w:rsid w:val="69B44F51"/>
    <w:rsid w:val="69BE4AF7"/>
    <w:rsid w:val="69E47E0A"/>
    <w:rsid w:val="69EE6854"/>
    <w:rsid w:val="69EF047B"/>
    <w:rsid w:val="69F66377"/>
    <w:rsid w:val="6A22716C"/>
    <w:rsid w:val="6A365180"/>
    <w:rsid w:val="6A5512F0"/>
    <w:rsid w:val="6A635C1D"/>
    <w:rsid w:val="6A95643F"/>
    <w:rsid w:val="6AE82164"/>
    <w:rsid w:val="6BDE5474"/>
    <w:rsid w:val="6BFE4477"/>
    <w:rsid w:val="6C0A7EB8"/>
    <w:rsid w:val="6C1825D5"/>
    <w:rsid w:val="6C205CF3"/>
    <w:rsid w:val="6C434B58"/>
    <w:rsid w:val="6C7A6DEC"/>
    <w:rsid w:val="6CD57B85"/>
    <w:rsid w:val="6D0A25E7"/>
    <w:rsid w:val="6D0F385A"/>
    <w:rsid w:val="6D231231"/>
    <w:rsid w:val="6D461CDD"/>
    <w:rsid w:val="6D5A7663"/>
    <w:rsid w:val="6D633F81"/>
    <w:rsid w:val="6D7478CA"/>
    <w:rsid w:val="6DA10D9F"/>
    <w:rsid w:val="6DD469CF"/>
    <w:rsid w:val="6DDA01E5"/>
    <w:rsid w:val="6E0F6A32"/>
    <w:rsid w:val="6E3C2DF9"/>
    <w:rsid w:val="6E531FEA"/>
    <w:rsid w:val="6E6B32BB"/>
    <w:rsid w:val="6E8D2AF8"/>
    <w:rsid w:val="6EF823CF"/>
    <w:rsid w:val="6F6049BF"/>
    <w:rsid w:val="6F9A0D04"/>
    <w:rsid w:val="6FAF73AB"/>
    <w:rsid w:val="6FD25B0D"/>
    <w:rsid w:val="6FE86762"/>
    <w:rsid w:val="700B0C49"/>
    <w:rsid w:val="70487A37"/>
    <w:rsid w:val="70545BA6"/>
    <w:rsid w:val="705C4D63"/>
    <w:rsid w:val="705F6A24"/>
    <w:rsid w:val="70807E71"/>
    <w:rsid w:val="709B37D5"/>
    <w:rsid w:val="70BA1EAD"/>
    <w:rsid w:val="70C525FF"/>
    <w:rsid w:val="70DD5965"/>
    <w:rsid w:val="70F37AF9"/>
    <w:rsid w:val="7103013C"/>
    <w:rsid w:val="714B1E7B"/>
    <w:rsid w:val="71720243"/>
    <w:rsid w:val="71A5490B"/>
    <w:rsid w:val="71AA1F21"/>
    <w:rsid w:val="71AD5560"/>
    <w:rsid w:val="71CF3736"/>
    <w:rsid w:val="72077373"/>
    <w:rsid w:val="721F290F"/>
    <w:rsid w:val="726612B5"/>
    <w:rsid w:val="72753B64"/>
    <w:rsid w:val="72B15531"/>
    <w:rsid w:val="72B30307"/>
    <w:rsid w:val="72BA43E6"/>
    <w:rsid w:val="72DA6836"/>
    <w:rsid w:val="73074917"/>
    <w:rsid w:val="731442E8"/>
    <w:rsid w:val="73536328"/>
    <w:rsid w:val="735465E8"/>
    <w:rsid w:val="735515CE"/>
    <w:rsid w:val="735F4F8D"/>
    <w:rsid w:val="73686F0D"/>
    <w:rsid w:val="738F35CB"/>
    <w:rsid w:val="73911635"/>
    <w:rsid w:val="739F35DC"/>
    <w:rsid w:val="73A429A0"/>
    <w:rsid w:val="73A806E2"/>
    <w:rsid w:val="73B52708"/>
    <w:rsid w:val="741C3C5E"/>
    <w:rsid w:val="74257F85"/>
    <w:rsid w:val="74391E01"/>
    <w:rsid w:val="7445294D"/>
    <w:rsid w:val="74733E3C"/>
    <w:rsid w:val="747F0DCB"/>
    <w:rsid w:val="7496678D"/>
    <w:rsid w:val="74EE0377"/>
    <w:rsid w:val="75063912"/>
    <w:rsid w:val="75236C06"/>
    <w:rsid w:val="75B50420"/>
    <w:rsid w:val="75B72E5F"/>
    <w:rsid w:val="75C17839"/>
    <w:rsid w:val="75EB2B08"/>
    <w:rsid w:val="762726AD"/>
    <w:rsid w:val="76283D5C"/>
    <w:rsid w:val="76C770D1"/>
    <w:rsid w:val="76E94E62"/>
    <w:rsid w:val="76ED1EBE"/>
    <w:rsid w:val="7722255A"/>
    <w:rsid w:val="773A4439"/>
    <w:rsid w:val="776C1D69"/>
    <w:rsid w:val="77D53E99"/>
    <w:rsid w:val="77D87A5C"/>
    <w:rsid w:val="77DA2E34"/>
    <w:rsid w:val="786066B8"/>
    <w:rsid w:val="7888673F"/>
    <w:rsid w:val="78A53442"/>
    <w:rsid w:val="78A551F0"/>
    <w:rsid w:val="78C315EA"/>
    <w:rsid w:val="78D35C78"/>
    <w:rsid w:val="78DD139E"/>
    <w:rsid w:val="7940545D"/>
    <w:rsid w:val="794C38BE"/>
    <w:rsid w:val="79586039"/>
    <w:rsid w:val="795E679A"/>
    <w:rsid w:val="7960509E"/>
    <w:rsid w:val="798B2638"/>
    <w:rsid w:val="79960FDD"/>
    <w:rsid w:val="79A51AD3"/>
    <w:rsid w:val="79AA009F"/>
    <w:rsid w:val="79D05643"/>
    <w:rsid w:val="79FB162B"/>
    <w:rsid w:val="7A2025CB"/>
    <w:rsid w:val="7A8345C7"/>
    <w:rsid w:val="7AAD2AE8"/>
    <w:rsid w:val="7AB43E35"/>
    <w:rsid w:val="7AB61937"/>
    <w:rsid w:val="7AF97A75"/>
    <w:rsid w:val="7B03609E"/>
    <w:rsid w:val="7B0B2ED3"/>
    <w:rsid w:val="7B1A0118"/>
    <w:rsid w:val="7B3629A7"/>
    <w:rsid w:val="7B616AD2"/>
    <w:rsid w:val="7B6D3AF2"/>
    <w:rsid w:val="7B7517F2"/>
    <w:rsid w:val="7B820F51"/>
    <w:rsid w:val="7BB213FD"/>
    <w:rsid w:val="7BCE2CB0"/>
    <w:rsid w:val="7BDF361B"/>
    <w:rsid w:val="7BF5248E"/>
    <w:rsid w:val="7C156B31"/>
    <w:rsid w:val="7C5D2C49"/>
    <w:rsid w:val="7C683F9C"/>
    <w:rsid w:val="7C742A2B"/>
    <w:rsid w:val="7C863FD9"/>
    <w:rsid w:val="7CA97498"/>
    <w:rsid w:val="7CBB76D8"/>
    <w:rsid w:val="7CD6006E"/>
    <w:rsid w:val="7CE864C2"/>
    <w:rsid w:val="7CF51D19"/>
    <w:rsid w:val="7D1666BD"/>
    <w:rsid w:val="7D605B8A"/>
    <w:rsid w:val="7D6E02A7"/>
    <w:rsid w:val="7D823D52"/>
    <w:rsid w:val="7DAB5BB2"/>
    <w:rsid w:val="7DFD787D"/>
    <w:rsid w:val="7E2553C3"/>
    <w:rsid w:val="7E386B07"/>
    <w:rsid w:val="7E4210B2"/>
    <w:rsid w:val="7E4615C6"/>
    <w:rsid w:val="7E6873EC"/>
    <w:rsid w:val="7E7F54D0"/>
    <w:rsid w:val="7E7F6E7C"/>
    <w:rsid w:val="7EA70D0A"/>
    <w:rsid w:val="7EC565EC"/>
    <w:rsid w:val="7F3C32F9"/>
    <w:rsid w:val="7F4F1D08"/>
    <w:rsid w:val="7F567244"/>
    <w:rsid w:val="7F9F4D28"/>
    <w:rsid w:val="7FAC3308"/>
    <w:rsid w:val="7FEA7B59"/>
    <w:rsid w:val="7FF947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2"/>
    <w:next w:val="1"/>
    <w:autoRedefine/>
    <w:semiHidden/>
    <w:unhideWhenUsed/>
    <w:qFormat/>
    <w:uiPriority w:val="0"/>
    <w:pPr>
      <w:spacing w:beforeAutospacing="1" w:afterAutospacing="1"/>
      <w:jc w:val="left"/>
      <w:outlineLvl w:val="2"/>
    </w:pPr>
    <w:rPr>
      <w:rFonts w:hint="eastAsia" w:ascii="宋体" w:hAnsi="宋体"/>
      <w:bCs/>
      <w:kern w:val="0"/>
      <w:sz w:val="27"/>
      <w:szCs w:val="27"/>
    </w:rPr>
  </w:style>
  <w:style w:type="paragraph" w:styleId="4">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99"/>
    <w:pPr>
      <w:jc w:val="left"/>
    </w:pPr>
  </w:style>
  <w:style w:type="paragraph" w:styleId="7">
    <w:name w:val="Body Text"/>
    <w:basedOn w:val="1"/>
    <w:next w:val="1"/>
    <w:autoRedefine/>
    <w:qFormat/>
    <w:uiPriority w:val="0"/>
    <w:rPr>
      <w:rFonts w:ascii="黑体" w:hAnsi="Courier New" w:eastAsia="黑体"/>
      <w:sz w:val="30"/>
      <w:shd w:val="pct10" w:color="auto" w:fill="FFFFFF"/>
    </w:rPr>
  </w:style>
  <w:style w:type="paragraph" w:styleId="8">
    <w:name w:val="Body Text Indent"/>
    <w:basedOn w:val="1"/>
    <w:autoRedefine/>
    <w:qFormat/>
    <w:uiPriority w:val="0"/>
    <w:pPr>
      <w:spacing w:line="720" w:lineRule="exact"/>
      <w:ind w:firstLine="601"/>
    </w:pPr>
    <w:rPr>
      <w:rFonts w:ascii="宋体" w:hAnsi="宋体"/>
      <w:sz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Balloon Text"/>
    <w:basedOn w:val="1"/>
    <w:link w:val="43"/>
    <w:autoRedefine/>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5">
    <w:name w:val="toc 1"/>
    <w:basedOn w:val="1"/>
    <w:next w:val="1"/>
    <w:autoRedefine/>
    <w:qFormat/>
    <w:uiPriority w:val="39"/>
    <w:pPr>
      <w:tabs>
        <w:tab w:val="left" w:pos="735"/>
        <w:tab w:val="right" w:leader="dot" w:pos="9530"/>
      </w:tabs>
      <w:spacing w:line="440" w:lineRule="exact"/>
    </w:p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Body Text First Indent"/>
    <w:basedOn w:val="7"/>
    <w:next w:val="19"/>
    <w:autoRedefine/>
    <w:qFormat/>
    <w:uiPriority w:val="0"/>
    <w:pPr>
      <w:ind w:firstLine="420" w:firstLineChars="100"/>
    </w:pPr>
  </w:style>
  <w:style w:type="paragraph" w:styleId="19">
    <w:name w:val="Body Text First Indent 2"/>
    <w:basedOn w:val="8"/>
    <w:autoRedefine/>
    <w:qFormat/>
    <w:uiPriority w:val="0"/>
    <w:pPr>
      <w:ind w:firstLine="42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rPr>
  </w:style>
  <w:style w:type="character" w:styleId="24">
    <w:name w:val="Emphasis"/>
    <w:basedOn w:val="22"/>
    <w:autoRedefine/>
    <w:qFormat/>
    <w:uiPriority w:val="0"/>
    <w:rPr>
      <w:i/>
    </w:rPr>
  </w:style>
  <w:style w:type="character" w:styleId="25">
    <w:name w:val="Hyperlink"/>
    <w:autoRedefine/>
    <w:qFormat/>
    <w:uiPriority w:val="99"/>
    <w:rPr>
      <w:color w:val="0000FF"/>
      <w:u w:val="single"/>
    </w:rPr>
  </w:style>
  <w:style w:type="character" w:styleId="26">
    <w:name w:val="annotation reference"/>
    <w:basedOn w:val="22"/>
    <w:autoRedefine/>
    <w:qFormat/>
    <w:uiPriority w:val="0"/>
    <w:rPr>
      <w:sz w:val="21"/>
      <w:szCs w:val="21"/>
    </w:rPr>
  </w:style>
  <w:style w:type="paragraph" w:customStyle="1" w:styleId="27">
    <w:name w:val="样式 标题 3 + (中文) 黑体 小四 非加粗 段前: 7.8 磅 段后: 0 磅 行距: 固定值 20 磅"/>
    <w:basedOn w:val="3"/>
    <w:autoRedefine/>
    <w:qFormat/>
    <w:uiPriority w:val="0"/>
    <w:pPr>
      <w:tabs>
        <w:tab w:val="left" w:pos="425"/>
      </w:tabs>
      <w:spacing w:before="0" w:after="0" w:line="400" w:lineRule="exact"/>
    </w:pPr>
    <w:rPr>
      <w:rFonts w:ascii="Times New Roman" w:hAnsi="Times New Roman" w:eastAsia="黑体" w:cs="宋体"/>
      <w:kern w:val="2"/>
      <w:sz w:val="24"/>
      <w:szCs w:val="20"/>
    </w:rPr>
  </w:style>
  <w:style w:type="paragraph" w:customStyle="1" w:styleId="28">
    <w:name w:val="Fließtext"/>
    <w:basedOn w:val="29"/>
    <w:autoRedefine/>
    <w:qFormat/>
    <w:uiPriority w:val="0"/>
    <w:pPr>
      <w:overflowPunct w:val="0"/>
      <w:autoSpaceDE w:val="0"/>
      <w:autoSpaceDN w:val="0"/>
      <w:adjustRightInd w:val="0"/>
      <w:textAlignment w:val="baseline"/>
    </w:pPr>
    <w:rPr>
      <w:kern w:val="28"/>
      <w:szCs w:val="20"/>
    </w:rPr>
  </w:style>
  <w:style w:type="paragraph" w:customStyle="1" w:styleId="29">
    <w:name w:val="正文1"/>
    <w:next w:val="28"/>
    <w:qFormat/>
    <w:uiPriority w:val="0"/>
    <w:pPr>
      <w:widowControl w:val="0"/>
      <w:jc w:val="both"/>
    </w:pPr>
    <w:rPr>
      <w:rFonts w:ascii="等线" w:hAnsi="等线" w:eastAsia="等线" w:cs="宋体"/>
      <w:color w:val="000000"/>
      <w:kern w:val="2"/>
      <w:sz w:val="21"/>
      <w:szCs w:val="22"/>
      <w:lang w:val="en-US" w:eastAsia="zh-CN" w:bidi="ar-SA"/>
    </w:rPr>
  </w:style>
  <w:style w:type="paragraph" w:customStyle="1" w:styleId="30">
    <w:name w:val="列出段落1"/>
    <w:basedOn w:val="1"/>
    <w:autoRedefine/>
    <w:qFormat/>
    <w:uiPriority w:val="0"/>
    <w:pPr>
      <w:ind w:firstLine="420" w:firstLineChars="200"/>
    </w:pPr>
    <w:rPr>
      <w:rFonts w:ascii="Calibri" w:hAnsi="Calibri"/>
      <w:kern w:val="0"/>
      <w:sz w:val="20"/>
      <w:szCs w:val="20"/>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Table Paragraph"/>
    <w:basedOn w:val="1"/>
    <w:autoRedefine/>
    <w:qFormat/>
    <w:uiPriority w:val="1"/>
    <w:rPr>
      <w:rFonts w:ascii="宋体" w:hAnsi="宋体" w:cs="宋体"/>
      <w:lang w:val="zh-CN" w:bidi="zh-CN"/>
    </w:rPr>
  </w:style>
  <w:style w:type="paragraph" w:customStyle="1" w:styleId="33">
    <w:name w:val="Body Text First Indent1"/>
    <w:basedOn w:val="7"/>
    <w:autoRedefine/>
    <w:qFormat/>
    <w:uiPriority w:val="0"/>
    <w:pPr>
      <w:ind w:firstLine="420" w:firstLineChars="100"/>
    </w:pPr>
  </w:style>
  <w:style w:type="paragraph" w:customStyle="1" w:styleId="34">
    <w:name w:val="标3"/>
    <w:basedOn w:val="1"/>
    <w:autoRedefine/>
    <w:qFormat/>
    <w:uiPriority w:val="0"/>
    <w:pPr>
      <w:numPr>
        <w:ilvl w:val="2"/>
        <w:numId w:val="1"/>
      </w:numPr>
      <w:adjustRightInd w:val="0"/>
      <w:snapToGrid w:val="0"/>
      <w:spacing w:before="50"/>
      <w:outlineLvl w:val="2"/>
    </w:pPr>
    <w:rPr>
      <w:rFonts w:ascii="Arial Narrow" w:hAnsi="Arial Narrow" w:eastAsia="仿宋_GB2312"/>
      <w:sz w:val="28"/>
      <w:szCs w:val="20"/>
    </w:rPr>
  </w:style>
  <w:style w:type="paragraph" w:customStyle="1" w:styleId="35">
    <w:name w:val="样式3"/>
    <w:basedOn w:val="10"/>
    <w:autoRedefine/>
    <w:qFormat/>
    <w:uiPriority w:val="0"/>
    <w:pPr>
      <w:spacing w:line="0" w:lineRule="atLeast"/>
      <w:outlineLvl w:val="0"/>
    </w:pPr>
    <w:rPr>
      <w:sz w:val="28"/>
      <w:szCs w:val="24"/>
    </w:rPr>
  </w:style>
  <w:style w:type="paragraph" w:customStyle="1" w:styleId="36">
    <w:name w:val="BodyText"/>
    <w:basedOn w:val="1"/>
    <w:next w:val="1"/>
    <w:autoRedefine/>
    <w:qFormat/>
    <w:uiPriority w:val="0"/>
    <w:pPr>
      <w:spacing w:after="120"/>
      <w:textAlignment w:val="baseline"/>
    </w:pPr>
    <w:rPr>
      <w:rFonts w:ascii="Calibri" w:hAnsi="Calibri"/>
      <w:szCs w:val="21"/>
    </w:rPr>
  </w:style>
  <w:style w:type="paragraph" w:customStyle="1" w:styleId="37">
    <w:name w:val="标准"/>
    <w:basedOn w:val="1"/>
    <w:autoRedefine/>
    <w:qFormat/>
    <w:uiPriority w:val="0"/>
    <w:pPr>
      <w:spacing w:line="360" w:lineRule="auto"/>
      <w:ind w:firstLine="200" w:firstLineChars="200"/>
    </w:pPr>
    <w:rPr>
      <w:rFonts w:cs="宋体"/>
      <w:szCs w:val="20"/>
    </w:rPr>
  </w:style>
  <w:style w:type="paragraph" w:customStyle="1" w:styleId="38">
    <w:name w:val="Fließtext2"/>
    <w:basedOn w:val="1"/>
    <w:autoRedefine/>
    <w:qFormat/>
    <w:uiPriority w:val="0"/>
    <w:pPr>
      <w:overflowPunct w:val="0"/>
      <w:autoSpaceDE w:val="0"/>
      <w:autoSpaceDN w:val="0"/>
      <w:adjustRightInd w:val="0"/>
      <w:textAlignment w:val="baseline"/>
    </w:pPr>
    <w:rPr>
      <w:kern w:val="28"/>
      <w:szCs w:val="20"/>
    </w:rPr>
  </w:style>
  <w:style w:type="paragraph" w:customStyle="1" w:styleId="39">
    <w:name w:val="p16"/>
    <w:autoRedefine/>
    <w:qFormat/>
    <w:uiPriority w:val="0"/>
    <w:pPr>
      <w:jc w:val="both"/>
    </w:pPr>
    <w:rPr>
      <w:rFonts w:ascii="宋体" w:hAnsi="Times New Roman" w:eastAsia="宋体" w:cs="Times New Roman"/>
      <w:lang w:val="en-US" w:eastAsia="zh-CN" w:bidi="ar-SA"/>
    </w:rPr>
  </w:style>
  <w:style w:type="character" w:customStyle="1" w:styleId="40">
    <w:name w:val="font11"/>
    <w:basedOn w:val="22"/>
    <w:autoRedefine/>
    <w:qFormat/>
    <w:uiPriority w:val="0"/>
    <w:rPr>
      <w:rFonts w:hint="eastAsia" w:ascii="宋体" w:hAnsi="宋体" w:eastAsia="宋体" w:cs="宋体"/>
      <w:color w:val="000000"/>
      <w:sz w:val="21"/>
      <w:szCs w:val="21"/>
      <w:u w:val="none"/>
    </w:rPr>
  </w:style>
  <w:style w:type="character" w:customStyle="1" w:styleId="41">
    <w:name w:val="fontstyle01"/>
    <w:basedOn w:val="22"/>
    <w:autoRedefine/>
    <w:qFormat/>
    <w:uiPriority w:val="0"/>
    <w:rPr>
      <w:rFonts w:hint="default" w:ascii="????" w:hAnsi="????"/>
      <w:color w:val="000000"/>
      <w:sz w:val="20"/>
      <w:szCs w:val="20"/>
    </w:rPr>
  </w:style>
  <w:style w:type="paragraph" w:customStyle="1" w:styleId="42">
    <w:name w:val="null3"/>
    <w:autoRedefine/>
    <w:hidden/>
    <w:qFormat/>
    <w:uiPriority w:val="0"/>
    <w:rPr>
      <w:rFonts w:hint="eastAsia" w:asciiTheme="minorHAnsi" w:hAnsiTheme="minorHAnsi" w:eastAsiaTheme="minorEastAsia" w:cstheme="minorBidi"/>
      <w:lang w:val="en-US" w:eastAsia="zh-CN" w:bidi="ar-SA"/>
    </w:rPr>
  </w:style>
  <w:style w:type="character" w:customStyle="1" w:styleId="43">
    <w:name w:val="批注框文本 Char"/>
    <w:basedOn w:val="22"/>
    <w:link w:val="11"/>
    <w:autoRedefine/>
    <w:qFormat/>
    <w:uiPriority w:val="0"/>
    <w:rPr>
      <w:kern w:val="2"/>
      <w:sz w:val="18"/>
      <w:szCs w:val="18"/>
    </w:rPr>
  </w:style>
  <w:style w:type="character" w:customStyle="1" w:styleId="44">
    <w:name w:val="font01"/>
    <w:basedOn w:val="22"/>
    <w:autoRedefine/>
    <w:qFormat/>
    <w:uiPriority w:val="0"/>
    <w:rPr>
      <w:rFonts w:hint="eastAsia" w:ascii="宋体" w:hAnsi="宋体" w:eastAsia="宋体" w:cs="宋体"/>
      <w:color w:val="000000"/>
      <w:sz w:val="22"/>
      <w:szCs w:val="22"/>
      <w:u w:val="none"/>
    </w:rPr>
  </w:style>
  <w:style w:type="character" w:customStyle="1" w:styleId="45">
    <w:name w:val="font21"/>
    <w:basedOn w:val="22"/>
    <w:autoRedefine/>
    <w:qFormat/>
    <w:uiPriority w:val="0"/>
    <w:rPr>
      <w:rFonts w:hint="eastAsia" w:ascii="宋体" w:hAnsi="宋体" w:eastAsia="宋体" w:cs="宋体"/>
      <w:color w:val="000000"/>
      <w:sz w:val="22"/>
      <w:szCs w:val="22"/>
      <w:u w:val="none"/>
    </w:rPr>
  </w:style>
  <w:style w:type="character" w:customStyle="1" w:styleId="46">
    <w:name w:val="NormalCharacter"/>
    <w:autoRedefine/>
    <w:semiHidden/>
    <w:qFormat/>
    <w:uiPriority w:val="0"/>
  </w:style>
  <w:style w:type="paragraph" w:styleId="47">
    <w:name w:val="No Spacing"/>
    <w:autoRedefine/>
    <w:qFormat/>
    <w:uiPriority w:val="1"/>
    <w:rPr>
      <w:rFonts w:ascii="Cambria" w:hAnsi="Cambria" w:eastAsia="宋体" w:cs="Times New Roman"/>
      <w:sz w:val="22"/>
      <w:szCs w:val="22"/>
      <w:lang w:val="en-US" w:eastAsia="zh-CN" w:bidi="ar-SA"/>
    </w:rPr>
  </w:style>
  <w:style w:type="character" w:customStyle="1" w:styleId="48">
    <w:name w:val="17"/>
    <w:autoRedefine/>
    <w:qFormat/>
    <w:uiPriority w:val="0"/>
    <w:rPr>
      <w:rFonts w:hint="default" w:ascii="Times New Roman" w:hAnsi="Times New Roman" w:cs="Times New Roman"/>
    </w:r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11272</Words>
  <Characters>11910</Characters>
  <Lines>280</Lines>
  <Paragraphs>79</Paragraphs>
  <TotalTime>9</TotalTime>
  <ScaleCrop>false</ScaleCrop>
  <LinksUpToDate>false</LinksUpToDate>
  <CharactersWithSpaces>12058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2022-07-12T09:20:00Z</dcterms:created>
  <dc:creator>王琳</dc:creator>
  <cp:lastModifiedBy> </cp:lastModifiedBy>
  <cp:lastPrinted>2024-09-14T03:49:00Z</cp:lastPrinted>
  <dcterms:modified xsi:type="dcterms:W3CDTF">2025-07-08T08:54:30Z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198E94E29432464384CA29ADB35F35D1_13</vt:lpwstr>
  </property>
  <property fmtid="{D5CDD505-2E9C-101B-9397-08002B2CF9AE}" pid="4" name="KSOTemplateDocerSaveRecord">
    <vt:lpwstr>eyJoZGlkIjoiZGNlNjg2ZDE5NDEwMjgyM2Y3ZTQ0OTA5ZjQ1ZDEyMzIiLCJ1c2VySWQiOiIzMTkyMzE0NDcifQ==</vt:lpwstr>
  </property>
</Properties>
</file>