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84"/>
          <w:szCs w:val="84"/>
        </w:rPr>
      </w:pPr>
    </w:p>
    <w:p>
      <w:pPr>
        <w:spacing w:line="360" w:lineRule="auto"/>
        <w:jc w:val="center"/>
        <w:rPr>
          <w:rFonts w:hint="eastAsia" w:ascii="宋体" w:hAnsi="宋体"/>
          <w:b/>
          <w:sz w:val="84"/>
          <w:szCs w:val="84"/>
          <w:lang w:eastAsia="zh-CN"/>
        </w:rPr>
      </w:pPr>
      <w:r>
        <w:rPr>
          <w:rFonts w:hint="eastAsia" w:ascii="宋体" w:hAnsi="宋体"/>
          <w:b/>
          <w:sz w:val="84"/>
          <w:szCs w:val="84"/>
          <w:lang w:eastAsia="zh-CN"/>
        </w:rPr>
        <w:t>福建省建阳兴欣织造</w:t>
      </w:r>
    </w:p>
    <w:p>
      <w:pPr>
        <w:spacing w:line="360" w:lineRule="auto"/>
        <w:jc w:val="center"/>
        <w:rPr>
          <w:rFonts w:hint="eastAsia" w:ascii="宋体" w:hAnsi="宋体"/>
          <w:b/>
          <w:sz w:val="84"/>
          <w:szCs w:val="84"/>
          <w:lang w:eastAsia="zh-CN"/>
        </w:rPr>
      </w:pPr>
      <w:r>
        <w:rPr>
          <w:rFonts w:hint="eastAsia" w:ascii="宋体" w:hAnsi="宋体"/>
          <w:b/>
          <w:sz w:val="84"/>
          <w:szCs w:val="84"/>
          <w:lang w:eastAsia="zh-CN"/>
        </w:rPr>
        <w:t>有限公司</w:t>
      </w:r>
    </w:p>
    <w:p>
      <w:pPr>
        <w:spacing w:line="360" w:lineRule="auto"/>
        <w:jc w:val="center"/>
        <w:rPr>
          <w:rFonts w:ascii="宋体" w:hAnsi="宋体"/>
          <w:b/>
          <w:sz w:val="84"/>
          <w:szCs w:val="84"/>
        </w:rPr>
      </w:pPr>
      <w:r>
        <w:rPr>
          <w:rFonts w:hint="eastAsia" w:ascii="宋体" w:hAnsi="宋体"/>
          <w:b/>
          <w:sz w:val="84"/>
          <w:szCs w:val="84"/>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autoSpaceDE w:val="0"/>
        <w:autoSpaceDN w:val="0"/>
        <w:adjustRightInd w:val="0"/>
        <w:spacing w:line="360" w:lineRule="auto"/>
        <w:jc w:val="left"/>
        <w:rPr>
          <w:rFonts w:ascii="宋体" w:hAnsi="宋体"/>
          <w:b/>
          <w:bCs/>
          <w:sz w:val="30"/>
          <w:szCs w:val="30"/>
          <w:lang w:val="zh-CN"/>
        </w:rPr>
      </w:pP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840" w:firstLineChars="279"/>
        <w:jc w:val="left"/>
        <w:textAlignment w:val="auto"/>
        <w:rPr>
          <w:rFonts w:hint="default" w:ascii="宋体" w:hAnsi="宋体" w:eastAsia="宋体"/>
          <w:b/>
          <w:bCs/>
          <w:sz w:val="30"/>
          <w:szCs w:val="30"/>
          <w:lang w:val="en-US" w:eastAsia="zh-CN"/>
        </w:rPr>
      </w:pPr>
      <w:r>
        <w:rPr>
          <w:rFonts w:hint="eastAsia" w:ascii="宋体" w:hAnsi="宋体"/>
          <w:b/>
          <w:bCs/>
          <w:sz w:val="30"/>
          <w:szCs w:val="30"/>
        </w:rPr>
        <w:t>项目</w:t>
      </w:r>
      <w:r>
        <w:rPr>
          <w:rFonts w:hint="eastAsia" w:ascii="宋体" w:hAnsi="宋体"/>
          <w:b/>
          <w:bCs/>
          <w:sz w:val="30"/>
          <w:szCs w:val="30"/>
          <w:lang w:val="zh-CN"/>
        </w:rPr>
        <w:t>编号：FJHRWJ2024021-2</w:t>
      </w:r>
    </w:p>
    <w:p>
      <w:pPr>
        <w:pStyle w:val="17"/>
        <w:keepNext w:val="0"/>
        <w:keepLines w:val="0"/>
        <w:pageBreakBefore w:val="0"/>
        <w:widowControl w:val="0"/>
        <w:kinsoku/>
        <w:wordWrap/>
        <w:overflowPunct/>
        <w:topLinePunct w:val="0"/>
        <w:bidi w:val="0"/>
        <w:snapToGrid/>
        <w:spacing w:line="360" w:lineRule="auto"/>
        <w:ind w:left="0" w:leftChars="0" w:firstLine="840" w:firstLineChars="279"/>
        <w:textAlignment w:val="auto"/>
        <w:rPr>
          <w:rFonts w:hint="eastAsia" w:ascii="宋体" w:hAnsi="宋体"/>
          <w:b/>
          <w:bCs/>
          <w:sz w:val="30"/>
          <w:szCs w:val="30"/>
          <w:lang w:val="zh-CN"/>
        </w:rPr>
      </w:pPr>
      <w:r>
        <w:rPr>
          <w:rFonts w:hint="eastAsia" w:ascii="宋体" w:hAnsi="宋体"/>
          <w:b/>
          <w:bCs/>
          <w:sz w:val="30"/>
          <w:szCs w:val="30"/>
          <w:lang w:val="zh-CN"/>
        </w:rPr>
        <w:t>项目名称：福建省建阳兴欣织造有限公司窗帘轨道及窗帘布采购</w:t>
      </w:r>
    </w:p>
    <w:p>
      <w:pPr>
        <w:pStyle w:val="17"/>
        <w:keepNext w:val="0"/>
        <w:keepLines w:val="0"/>
        <w:pageBreakBefore w:val="0"/>
        <w:widowControl w:val="0"/>
        <w:kinsoku/>
        <w:wordWrap/>
        <w:overflowPunct/>
        <w:topLinePunct w:val="0"/>
        <w:bidi w:val="0"/>
        <w:snapToGrid/>
        <w:spacing w:line="360" w:lineRule="auto"/>
        <w:ind w:left="0" w:leftChars="0" w:firstLine="840" w:firstLineChars="279"/>
        <w:textAlignment w:val="auto"/>
        <w:rPr>
          <w:rFonts w:hint="eastAsia" w:ascii="宋体" w:hAnsi="宋体" w:eastAsia="宋体"/>
          <w:b/>
          <w:bCs/>
          <w:sz w:val="36"/>
          <w:szCs w:val="36"/>
          <w:lang w:eastAsia="zh-CN"/>
        </w:rPr>
      </w:pPr>
      <w:r>
        <w:rPr>
          <w:rFonts w:hint="eastAsia" w:ascii="宋体" w:hAnsi="宋体"/>
          <w:b/>
          <w:bCs/>
          <w:sz w:val="30"/>
          <w:szCs w:val="30"/>
        </w:rPr>
        <w:t>采购人：</w:t>
      </w:r>
      <w:r>
        <w:rPr>
          <w:rFonts w:hint="eastAsia" w:ascii="宋体" w:hAnsi="宋体"/>
          <w:b/>
          <w:bCs/>
          <w:sz w:val="30"/>
          <w:szCs w:val="30"/>
          <w:lang w:eastAsia="zh-CN"/>
        </w:rPr>
        <w:t>福建省建阳兴欣织造有限公司</w:t>
      </w:r>
    </w:p>
    <w:p/>
    <w:p>
      <w:pPr>
        <w:wordWrap w:val="0"/>
        <w:spacing w:line="360" w:lineRule="auto"/>
        <w:jc w:val="center"/>
        <w:rPr>
          <w:rFonts w:hint="eastAsia" w:ascii="宋体" w:hAnsi="宋体" w:eastAsia="宋体"/>
          <w:b/>
          <w:bCs/>
          <w:sz w:val="30"/>
          <w:szCs w:val="30"/>
          <w:lang w:eastAsia="zh-CN"/>
        </w:rPr>
      </w:pPr>
      <w:r>
        <w:rPr>
          <w:rFonts w:hint="eastAsia" w:ascii="宋体" w:hAnsi="宋体"/>
          <w:b/>
          <w:bCs/>
          <w:sz w:val="30"/>
          <w:szCs w:val="30"/>
          <w:lang w:eastAsia="zh-CN"/>
        </w:rPr>
        <w:t>福建省宏瑞招标代理有限公司</w:t>
      </w:r>
    </w:p>
    <w:p>
      <w:pPr>
        <w:wordWrap w:val="0"/>
        <w:spacing w:line="360" w:lineRule="auto"/>
        <w:jc w:val="center"/>
        <w:rPr>
          <w:rFonts w:ascii="宋体" w:hAnsi="宋体" w:cs="宋体"/>
          <w:b/>
          <w:bCs/>
          <w:kern w:val="0"/>
          <w:sz w:val="32"/>
          <w:szCs w:val="32"/>
        </w:rPr>
      </w:pPr>
      <w:r>
        <w:rPr>
          <w:rFonts w:hint="eastAsia" w:ascii="宋体" w:hAnsi="宋体"/>
          <w:b/>
          <w:bCs/>
          <w:sz w:val="30"/>
          <w:szCs w:val="30"/>
        </w:rPr>
        <w:t>二○二</w:t>
      </w:r>
      <w:r>
        <w:rPr>
          <w:rFonts w:hint="eastAsia" w:ascii="宋体" w:hAnsi="宋体"/>
          <w:b/>
          <w:bCs/>
          <w:sz w:val="30"/>
          <w:szCs w:val="30"/>
          <w:lang w:eastAsia="zh-CN"/>
        </w:rPr>
        <w:t>四</w:t>
      </w:r>
      <w:r>
        <w:rPr>
          <w:rFonts w:hint="eastAsia" w:ascii="宋体" w:hAnsi="宋体"/>
          <w:b/>
          <w:bCs/>
          <w:sz w:val="30"/>
          <w:szCs w:val="30"/>
        </w:rPr>
        <w:t>年</w:t>
      </w:r>
      <w:r>
        <w:rPr>
          <w:rFonts w:hint="eastAsia" w:ascii="宋体" w:hAnsi="宋体"/>
          <w:b/>
          <w:bCs/>
          <w:sz w:val="30"/>
          <w:szCs w:val="30"/>
          <w:lang w:eastAsia="zh-CN"/>
        </w:rPr>
        <w:t>六</w:t>
      </w:r>
      <w:r>
        <w:rPr>
          <w:rFonts w:hint="eastAsia" w:ascii="宋体" w:hAnsi="宋体"/>
          <w:b/>
          <w:bCs/>
          <w:sz w:val="30"/>
          <w:szCs w:val="30"/>
        </w:rPr>
        <w:t>月</w:t>
      </w:r>
    </w:p>
    <w:p>
      <w:pPr>
        <w:rPr>
          <w:rFonts w:hint="eastAsia" w:ascii="宋体" w:hAnsi="宋体" w:cs="宋体"/>
          <w:b/>
          <w:bCs/>
          <w:kern w:val="0"/>
          <w:sz w:val="32"/>
          <w:szCs w:val="32"/>
        </w:rPr>
      </w:pPr>
      <w:r>
        <w:rPr>
          <w:rFonts w:hint="eastAsia" w:ascii="宋体" w:hAnsi="宋体" w:cs="宋体"/>
          <w:b/>
          <w:bCs/>
          <w:kern w:val="0"/>
          <w:sz w:val="32"/>
          <w:szCs w:val="3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lang w:eastAsia="zh-CN"/>
        </w:rPr>
        <w:t>福建省宏瑞招标代理有限公司</w:t>
      </w:r>
      <w:r>
        <w:rPr>
          <w:rFonts w:hint="eastAsia" w:ascii="宋体" w:hAnsi="宋体" w:cs="宋体"/>
          <w:kern w:val="0"/>
          <w:sz w:val="24"/>
        </w:rPr>
        <w:t>受</w:t>
      </w:r>
      <w:r>
        <w:rPr>
          <w:rFonts w:hint="eastAsia" w:ascii="宋体" w:hAnsi="宋体" w:cs="宋体"/>
          <w:kern w:val="0"/>
          <w:sz w:val="24"/>
          <w:u w:val="single"/>
          <w:lang w:eastAsia="zh-CN"/>
        </w:rPr>
        <w:t>福建省建阳兴欣织造有限公司</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福建省建阳兴欣织造有限公司窗帘轨道及窗帘布采购</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w:t>
      </w:r>
      <w:r>
        <w:rPr>
          <w:rFonts w:hint="eastAsia" w:ascii="宋体" w:hAnsi="宋体" w:cs="宋体"/>
          <w:kern w:val="0"/>
          <w:sz w:val="24"/>
          <w:lang w:eastAsia="zh-CN"/>
        </w:rPr>
        <w:t>FJHRWJ2024021-2</w:t>
      </w:r>
      <w:r>
        <w:rPr>
          <w:rFonts w:hint="eastAsia" w:ascii="宋体" w:hAnsi="宋体" w:cs="宋体"/>
          <w:kern w:val="0"/>
          <w:sz w:val="24"/>
        </w:rPr>
        <w:t xml:space="preserve"> </w:t>
      </w:r>
    </w:p>
    <w:p>
      <w:pPr>
        <w:widowControl/>
        <w:spacing w:line="360" w:lineRule="auto"/>
        <w:ind w:firstLine="482" w:firstLineChars="200"/>
        <w:jc w:val="left"/>
        <w:rPr>
          <w:rFonts w:ascii="宋体" w:hAnsi="宋体"/>
          <w:sz w:val="24"/>
        </w:rPr>
      </w:pPr>
      <w:r>
        <w:rPr>
          <w:rFonts w:hint="eastAsia" w:ascii="宋体" w:hAnsi="宋体" w:cs="宋体"/>
          <w:b/>
          <w:bCs/>
          <w:kern w:val="0"/>
          <w:sz w:val="24"/>
        </w:rPr>
        <w:t>2.项目名称：</w:t>
      </w:r>
      <w:r>
        <w:rPr>
          <w:rFonts w:hint="eastAsia" w:ascii="宋体" w:hAnsi="宋体" w:cs="宋体"/>
          <w:kern w:val="0"/>
          <w:sz w:val="24"/>
          <w:lang w:eastAsia="zh-CN"/>
        </w:rPr>
        <w:t>福建省建阳兴欣织造有限公司窗帘轨道及窗帘布采购</w:t>
      </w:r>
      <w:r>
        <w:rPr>
          <w:rFonts w:hint="eastAsia" w:ascii="宋体" w:hAnsi="宋体"/>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w:t>
      </w:r>
      <w:r>
        <w:rPr>
          <w:rFonts w:hint="eastAsia" w:ascii="宋体" w:hAnsi="宋体"/>
          <w:b w:val="0"/>
          <w:bCs/>
          <w:sz w:val="24"/>
        </w:rPr>
        <w:t>网上竞价货物名称、数量及主要技术规格售后服务要求等详见“第</w:t>
      </w:r>
      <w:r>
        <w:rPr>
          <w:rFonts w:hint="eastAsia" w:ascii="宋体" w:hAnsi="宋体"/>
          <w:b w:val="0"/>
          <w:bCs/>
          <w:sz w:val="24"/>
          <w:lang w:eastAsia="zh-CN"/>
        </w:rPr>
        <w:t>三</w:t>
      </w:r>
      <w:r>
        <w:rPr>
          <w:rFonts w:hint="eastAsia" w:ascii="宋体" w:hAnsi="宋体"/>
          <w:b w:val="0"/>
          <w:bCs/>
          <w:sz w:val="24"/>
        </w:rPr>
        <w:t>章 网上竞价内容及要求”</w:t>
      </w:r>
      <w:r>
        <w:rPr>
          <w:rFonts w:hint="eastAsia" w:ascii="宋体" w:hAnsi="宋体" w:cs="宋体"/>
          <w:b w:val="0"/>
          <w:bCs/>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kern w:val="0"/>
          <w:sz w:val="24"/>
          <w:highlight w:val="none"/>
        </w:rPr>
        <w:t>报名开始时间：20</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日9:00:00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日17:00:00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②参加网上竞价活动前3年内在经营活动中没有重大违法记录及无行贿犯罪的承诺，格式详见本网上竞价文件第五章《网上竞价承诺书》。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③具备履行合同所必需的设备和专业技术能力的承诺，格式详见本网上竞价文件第五章《网上竞价承诺书》；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720" w:firstLineChars="300"/>
        <w:rPr>
          <w:rFonts w:ascii="Times New Roman" w:hAnsi="Times New Roman"/>
          <w:sz w:val="24"/>
        </w:rPr>
      </w:pPr>
      <w:r>
        <w:rPr>
          <w:rFonts w:hint="eastAsia" w:ascii="宋体" w:hAnsi="宋体"/>
          <w:sz w:val="24"/>
        </w:rPr>
        <w:t>⑤</w:t>
      </w:r>
      <w:r>
        <w:rPr>
          <w:rFonts w:hint="eastAsia" w:ascii="Times New Roman" w:hAnsi="Times New Roman"/>
          <w:sz w:val="24"/>
        </w:rPr>
        <w:t>特定资格要求：无。</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6"/>
        </w:rPr>
      </w:pPr>
      <w:r>
        <w:rPr>
          <w:rStyle w:val="26"/>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w:t>
      </w:r>
      <w:r>
        <w:rPr>
          <w:rFonts w:hint="eastAsia" w:ascii="宋体" w:hAnsi="宋体" w:cs="宋体"/>
          <w:b/>
          <w:bCs/>
          <w:sz w:val="24"/>
          <w:highlight w:val="none"/>
          <w:lang w:val="en-US" w:eastAsia="zh-CN"/>
        </w:rPr>
        <w:t>3000</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hint="eastAsia" w:ascii="宋体" w:hAnsi="宋体" w:cs="宋体"/>
          <w:sz w:val="24"/>
          <w:lang w:eastAsia="zh-CN"/>
        </w:rPr>
      </w:pPr>
      <w:r>
        <w:rPr>
          <w:rFonts w:hint="eastAsia" w:ascii="宋体" w:hAnsi="宋体" w:cs="宋体"/>
          <w:sz w:val="24"/>
        </w:rPr>
        <w:t>开 户 名：</w:t>
      </w:r>
      <w:r>
        <w:rPr>
          <w:rFonts w:hint="eastAsia" w:ascii="宋体" w:hAnsi="宋体" w:cs="宋体"/>
          <w:sz w:val="24"/>
          <w:lang w:eastAsia="zh-CN"/>
        </w:rPr>
        <w:t>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ascii="宋体" w:hAnsi="宋体"/>
          <w:sz w:val="24"/>
        </w:rPr>
      </w:pPr>
      <w:r>
        <w:rPr>
          <w:rFonts w:hint="eastAsia" w:ascii="宋体" w:hAnsi="宋体"/>
          <w:sz w:val="24"/>
        </w:rPr>
        <w:t>采购人：</w:t>
      </w:r>
      <w:r>
        <w:rPr>
          <w:rFonts w:hint="eastAsia" w:ascii="宋体" w:hAnsi="宋体"/>
          <w:sz w:val="24"/>
          <w:lang w:eastAsia="zh-CN"/>
        </w:rPr>
        <w:t>福建省建阳兴欣织造有限公司</w:t>
      </w:r>
      <w:r>
        <w:rPr>
          <w:rFonts w:hint="eastAsia" w:ascii="宋体" w:hAnsi="宋体"/>
          <w:sz w:val="24"/>
        </w:rPr>
        <w:t xml:space="preserve"> </w:t>
      </w:r>
    </w:p>
    <w:p>
      <w:pPr>
        <w:spacing w:line="360" w:lineRule="auto"/>
        <w:ind w:firstLine="480" w:firstLineChars="200"/>
        <w:rPr>
          <w:rFonts w:ascii="宋体" w:hAnsi="宋体"/>
          <w:color w:val="FF0000"/>
          <w:sz w:val="24"/>
        </w:rPr>
      </w:pPr>
      <w:r>
        <w:rPr>
          <w:rFonts w:hint="eastAsia" w:ascii="宋体" w:hAnsi="宋体"/>
          <w:sz w:val="24"/>
        </w:rPr>
        <w:t>地  址：南平建阳区曼头山7号</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cs="Times New Roman"/>
          <w:color w:val="000000" w:themeColor="text1"/>
          <w:sz w:val="24"/>
          <w14:textFill>
            <w14:solidFill>
              <w14:schemeClr w14:val="tx1"/>
            </w14:solidFill>
          </w14:textFill>
        </w:rPr>
        <w:t>系人及电话：</w:t>
      </w:r>
      <w:r>
        <w:rPr>
          <w:rFonts w:hint="eastAsia" w:ascii="宋体" w:hAnsi="宋体"/>
          <w:color w:val="000000" w:themeColor="text1"/>
          <w:sz w:val="24"/>
          <w14:textFill>
            <w14:solidFill>
              <w14:schemeClr w14:val="tx1"/>
            </w14:solidFill>
          </w14:textFill>
        </w:rPr>
        <w:t>暨先生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0599-8071038</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lang w:eastAsia="zh-CN"/>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cs="宋体"/>
          <w:sz w:val="24"/>
          <w:lang w:eastAsia="zh-CN"/>
        </w:rPr>
        <w:t>福建省宏瑞招标代理有限公司</w:t>
      </w:r>
      <w:r>
        <w:rPr>
          <w:rFonts w:hint="eastAsia" w:ascii="宋体" w:hAnsi="宋体" w:cs="宋体"/>
          <w:sz w:val="24"/>
        </w:rPr>
        <w:t>将通过以下媒介发布通知，请潜在供应商随时关注相关网站，以免错漏重要信息。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rFonts w:hint="default" w:eastAsia="宋体"/>
          <w:highlight w:val="none"/>
          <w:lang w:val="en-US" w:eastAsia="zh-CN"/>
        </w:rPr>
      </w:pPr>
      <w:r>
        <w:rPr>
          <w:rFonts w:hint="eastAsia"/>
          <w:b w:val="0"/>
          <w:kern w:val="2"/>
          <w:sz w:val="24"/>
          <w:szCs w:val="24"/>
          <w:highlight w:val="none"/>
          <w:lang w:eastAsia="zh-CN"/>
        </w:rPr>
        <w:t>福建省国资平台</w:t>
      </w:r>
      <w:r>
        <w:rPr>
          <w:rFonts w:hint="eastAsia"/>
          <w:b w:val="0"/>
          <w:kern w:val="2"/>
          <w:sz w:val="24"/>
          <w:szCs w:val="24"/>
          <w:highlight w:val="none"/>
          <w:lang w:val="en-US" w:eastAsia="zh-CN"/>
        </w:rPr>
        <w:t>(</w:t>
      </w:r>
      <w:r>
        <w:rPr>
          <w:rFonts w:hint="eastAsia"/>
          <w:b w:val="0"/>
          <w:kern w:val="2"/>
          <w:sz w:val="24"/>
          <w:szCs w:val="24"/>
          <w:highlight w:val="none"/>
          <w:lang w:eastAsia="zh-CN"/>
        </w:rPr>
        <w:t>https://ygcg.fjcqjy.com</w:t>
      </w:r>
      <w:r>
        <w:rPr>
          <w:rFonts w:hint="eastAsia"/>
          <w:b w:val="0"/>
          <w:kern w:val="2"/>
          <w:sz w:val="24"/>
          <w:szCs w:val="24"/>
          <w:highlight w:val="none"/>
          <w:lang w:val="en-US" w:eastAsia="zh-CN"/>
        </w:rPr>
        <w:t>)</w:t>
      </w:r>
      <w:r>
        <w:rPr>
          <w:rFonts w:hint="eastAsia"/>
          <w:b w:val="0"/>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outlineLvl w:val="9"/>
        <w:rPr>
          <w:b w:val="0"/>
          <w:kern w:val="2"/>
          <w:sz w:val="24"/>
          <w:szCs w:val="24"/>
        </w:rPr>
      </w:pPr>
      <w:r>
        <w:rPr>
          <w:rFonts w:hint="eastAsia"/>
          <w:b w:val="0"/>
          <w:kern w:val="2"/>
          <w:sz w:val="24"/>
          <w:szCs w:val="24"/>
          <w:lang w:eastAsia="zh-CN"/>
        </w:rPr>
        <w:t>福建省宏瑞招标代理有限公司</w:t>
      </w:r>
      <w:r>
        <w:rPr>
          <w:rFonts w:hint="eastAsia"/>
          <w:b w:val="0"/>
          <w:kern w:val="2"/>
          <w:sz w:val="24"/>
          <w:szCs w:val="24"/>
        </w:rPr>
        <w:t>(http://www.fjhongrui.com )。</w:t>
      </w:r>
    </w:p>
    <w:p/>
    <w:p>
      <w:pPr>
        <w:pStyle w:val="9"/>
      </w:pPr>
    </w:p>
    <w:p/>
    <w:p>
      <w:pPr>
        <w:pStyle w:val="9"/>
      </w:pPr>
    </w:p>
    <w:p/>
    <w:p>
      <w:pPr>
        <w:pStyle w:val="9"/>
      </w:pPr>
    </w:p>
    <w:p/>
    <w:p>
      <w:pPr>
        <w:pStyle w:val="9"/>
      </w:pPr>
    </w:p>
    <w:p/>
    <w:p>
      <w:pPr>
        <w:pStyle w:val="9"/>
      </w:pPr>
    </w:p>
    <w:p/>
    <w:p>
      <w:pPr>
        <w:pStyle w:val="9"/>
      </w:pPr>
    </w:p>
    <w:p/>
    <w:p>
      <w:pPr>
        <w:pStyle w:val="9"/>
      </w:pPr>
    </w:p>
    <w:p/>
    <w:p>
      <w:pPr>
        <w:pStyle w:val="9"/>
      </w:pPr>
    </w:p>
    <w:p/>
    <w:p/>
    <w:p/>
    <w:p/>
    <w:p/>
    <w:p/>
    <w:p/>
    <w:p/>
    <w:p>
      <w:pPr>
        <w:pStyle w:val="17"/>
      </w:pPr>
    </w:p>
    <w:p>
      <w:pPr>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outlineLvl w:val="0"/>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7"/>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1.供应商应在网上竞价平台（网址：http://bid.fjhongrui.com）上进行注册、报名（上传响应文件）、网上竞价等相关操作，具体操作指南详见</w:t>
      </w:r>
      <w:r>
        <w:rPr>
          <w:rStyle w:val="26"/>
          <w:rFonts w:hint="eastAsia" w:ascii="宋体" w:hAnsi="宋体"/>
          <w:kern w:val="0"/>
          <w:sz w:val="24"/>
        </w:rPr>
        <w:t>福建省宏瑞招标代理有限公司</w:t>
      </w:r>
      <w:r>
        <w:rPr>
          <w:rStyle w:val="26"/>
          <w:rFonts w:ascii="宋体" w:hAnsi="宋体"/>
          <w:kern w:val="0"/>
          <w:sz w:val="24"/>
        </w:rPr>
        <w:t>网站</w:t>
      </w:r>
      <w:r>
        <w:rPr>
          <w:rStyle w:val="26"/>
          <w:rFonts w:hint="eastAsia" w:ascii="宋体" w:hAnsi="宋体" w:cs="宋体"/>
          <w:kern w:val="0"/>
          <w:sz w:val="24"/>
        </w:rPr>
        <w:t>（网址：</w:t>
      </w:r>
      <w:r>
        <w:rPr>
          <w:rStyle w:val="26"/>
          <w:rFonts w:ascii="宋体" w:hAnsi="宋体"/>
          <w:kern w:val="0"/>
          <w:sz w:val="24"/>
        </w:rPr>
        <w:t>http://www.fjhongrui.com</w:t>
      </w:r>
      <w:r>
        <w:rPr>
          <w:rStyle w:val="26"/>
          <w:rFonts w:hint="eastAsia" w:ascii="宋体" w:hAnsi="宋体" w:cs="宋体"/>
          <w:kern w:val="0"/>
          <w:sz w:val="24"/>
        </w:rPr>
        <w:t>）</w:t>
      </w:r>
      <w:r>
        <w:rPr>
          <w:rStyle w:val="26"/>
          <w:rFonts w:ascii="宋体" w:hAnsi="宋体"/>
          <w:kern w:val="0"/>
          <w:sz w:val="24"/>
        </w:rPr>
        <w:t>下载中心“宏瑞</w:t>
      </w:r>
      <w:r>
        <w:rPr>
          <w:rStyle w:val="26"/>
          <w:rFonts w:hint="eastAsia" w:ascii="宋体" w:hAnsi="宋体"/>
          <w:kern w:val="0"/>
          <w:sz w:val="24"/>
        </w:rPr>
        <w:t>招标</w:t>
      </w:r>
      <w:r>
        <w:rPr>
          <w:rStyle w:val="26"/>
          <w:rFonts w:ascii="宋体" w:hAnsi="宋体"/>
          <w:kern w:val="0"/>
          <w:sz w:val="24"/>
        </w:rPr>
        <w:t>网上竞价系统操作手册-供应商端v</w:t>
      </w:r>
      <w:r>
        <w:rPr>
          <w:rStyle w:val="26"/>
          <w:rFonts w:hint="eastAsia" w:ascii="宋体" w:hAnsi="宋体"/>
          <w:kern w:val="0"/>
          <w:sz w:val="24"/>
        </w:rPr>
        <w:t>2</w:t>
      </w:r>
      <w:r>
        <w:rPr>
          <w:rStyle w:val="26"/>
          <w:rFonts w:ascii="宋体" w:hAnsi="宋体"/>
          <w:kern w:val="0"/>
          <w:sz w:val="24"/>
        </w:rPr>
        <w:t>.0”指引</w:t>
      </w:r>
      <w:r>
        <w:rPr>
          <w:rStyle w:val="26"/>
          <w:rFonts w:hint="eastAsia" w:ascii="宋体" w:hAnsi="宋体"/>
          <w:kern w:val="0"/>
          <w:sz w:val="24"/>
        </w:rPr>
        <w:t>。</w:t>
      </w:r>
      <w:r>
        <w:rPr>
          <w:rStyle w:val="26"/>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6"/>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4"/>
        <w:spacing w:before="0" w:beforeAutospacing="0" w:after="0"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4"/>
        <w:spacing w:before="0" w:beforeAutospacing="0" w:after="0" w:afterAutospacing="0" w:line="360" w:lineRule="auto"/>
        <w:ind w:firstLine="480"/>
      </w:pPr>
      <w:r>
        <w:rPr>
          <w:rFonts w:hint="eastAsia"/>
        </w:rPr>
        <w:t>4.有下列情形之一的，</w:t>
      </w:r>
      <w:r>
        <w:rPr>
          <w:rStyle w:val="21"/>
          <w:rFonts w:hint="eastAsia"/>
          <w:sz w:val="24"/>
        </w:rPr>
        <w:t>报名审核不合格，视为无效响应：</w:t>
      </w:r>
    </w:p>
    <w:p>
      <w:pPr>
        <w:pStyle w:val="27"/>
        <w:spacing w:line="360" w:lineRule="auto"/>
        <w:ind w:firstLine="480" w:firstLineChars="200"/>
        <w:rPr>
          <w:rFonts w:hint="eastAsia" w:ascii="宋体" w:hAnsi="宋体" w:cs="宋体"/>
          <w:sz w:val="24"/>
          <w:szCs w:val="24"/>
        </w:rPr>
      </w:pPr>
      <w:r>
        <w:rPr>
          <w:rFonts w:hint="eastAsia" w:ascii="宋体" w:hAnsi="宋体" w:cs="宋体"/>
          <w:sz w:val="24"/>
          <w:szCs w:val="24"/>
        </w:rPr>
        <w:t>（1）不符合本文件第一章“供应商资格要求”的；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pPr>
        <w:pStyle w:val="14"/>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6"/>
          <w:rFonts w:ascii="宋体" w:hAnsi="宋体"/>
          <w:kern w:val="0"/>
          <w:sz w:val="24"/>
        </w:rPr>
      </w:pPr>
      <w:r>
        <w:rPr>
          <w:rStyle w:val="26"/>
          <w:rFonts w:hint="eastAsia" w:ascii="宋体" w:hAnsi="宋体"/>
          <w:kern w:val="0"/>
          <w:sz w:val="24"/>
        </w:rPr>
        <w:t>2.</w:t>
      </w:r>
      <w:r>
        <w:rPr>
          <w:rStyle w:val="26"/>
          <w:rFonts w:hint="eastAsia" w:ascii="宋体" w:hAnsi="宋体"/>
          <w:b/>
          <w:bCs/>
          <w:kern w:val="0"/>
          <w:sz w:val="24"/>
          <w:u w:val="single"/>
        </w:rPr>
        <w:t>供应商</w:t>
      </w:r>
      <w:r>
        <w:rPr>
          <w:rStyle w:val="26"/>
          <w:rFonts w:ascii="宋体" w:hAnsi="宋体"/>
          <w:b/>
          <w:bCs/>
          <w:kern w:val="0"/>
          <w:sz w:val="24"/>
          <w:u w:val="single"/>
        </w:rPr>
        <w:t>首次提交的报价</w:t>
      </w:r>
      <w:r>
        <w:rPr>
          <w:rStyle w:val="26"/>
          <w:rFonts w:hint="eastAsia" w:ascii="宋体" w:hAnsi="宋体"/>
          <w:b/>
          <w:bCs/>
          <w:kern w:val="0"/>
          <w:sz w:val="24"/>
          <w:u w:val="single"/>
        </w:rPr>
        <w:t>总价</w:t>
      </w:r>
      <w:r>
        <w:rPr>
          <w:rStyle w:val="26"/>
          <w:rFonts w:ascii="宋体" w:hAnsi="宋体"/>
          <w:b/>
          <w:bCs/>
          <w:kern w:val="0"/>
          <w:sz w:val="24"/>
          <w:u w:val="single"/>
        </w:rPr>
        <w:t>须</w:t>
      </w:r>
      <w:r>
        <w:rPr>
          <w:rStyle w:val="26"/>
          <w:rFonts w:hint="eastAsia" w:ascii="宋体" w:hAnsi="宋体"/>
          <w:b/>
          <w:bCs/>
          <w:kern w:val="0"/>
          <w:sz w:val="24"/>
          <w:u w:val="single"/>
        </w:rPr>
        <w:t>低于</w:t>
      </w:r>
      <w:r>
        <w:rPr>
          <w:rStyle w:val="26"/>
          <w:rFonts w:ascii="宋体" w:hAnsi="宋体"/>
          <w:b/>
          <w:bCs/>
          <w:kern w:val="0"/>
          <w:sz w:val="24"/>
          <w:u w:val="single"/>
        </w:rPr>
        <w:t>本项目</w:t>
      </w:r>
      <w:r>
        <w:rPr>
          <w:rStyle w:val="26"/>
          <w:rFonts w:hint="eastAsia" w:ascii="宋体" w:hAnsi="宋体"/>
          <w:b/>
          <w:bCs/>
          <w:kern w:val="0"/>
          <w:sz w:val="24"/>
          <w:u w:val="single"/>
        </w:rPr>
        <w:t>总价</w:t>
      </w:r>
      <w:r>
        <w:rPr>
          <w:rStyle w:val="26"/>
          <w:rFonts w:ascii="宋体" w:hAnsi="宋体"/>
          <w:b/>
          <w:bCs/>
          <w:kern w:val="0"/>
          <w:sz w:val="24"/>
          <w:u w:val="single"/>
        </w:rPr>
        <w:t>最高限价</w:t>
      </w:r>
      <w:r>
        <w:rPr>
          <w:rStyle w:val="26"/>
          <w:rFonts w:hint="eastAsia" w:ascii="宋体" w:hAnsi="宋体"/>
          <w:b/>
          <w:bCs/>
          <w:kern w:val="0"/>
          <w:sz w:val="24"/>
          <w:u w:val="single"/>
        </w:rPr>
        <w:t>的</w:t>
      </w:r>
      <w:r>
        <w:rPr>
          <w:rStyle w:val="26"/>
          <w:rFonts w:ascii="宋体" w:hAnsi="宋体"/>
          <w:b/>
          <w:bCs/>
          <w:kern w:val="0"/>
          <w:sz w:val="24"/>
          <w:u w:val="single"/>
        </w:rPr>
        <w:t>3%</w:t>
      </w:r>
      <w:r>
        <w:rPr>
          <w:rStyle w:val="26"/>
          <w:rFonts w:hint="eastAsia" w:ascii="宋体" w:hAnsi="宋体"/>
          <w:b/>
          <w:bCs/>
          <w:kern w:val="0"/>
          <w:sz w:val="24"/>
          <w:u w:val="single"/>
        </w:rPr>
        <w:t>以上（不含</w:t>
      </w:r>
      <w:r>
        <w:rPr>
          <w:rStyle w:val="26"/>
          <w:rFonts w:ascii="宋体" w:hAnsi="宋体"/>
          <w:b/>
          <w:bCs/>
          <w:kern w:val="0"/>
          <w:sz w:val="24"/>
          <w:u w:val="single"/>
        </w:rPr>
        <w:t>3%</w:t>
      </w:r>
      <w:r>
        <w:rPr>
          <w:rStyle w:val="26"/>
          <w:rFonts w:hint="eastAsia" w:ascii="宋体" w:hAnsi="宋体"/>
          <w:b/>
          <w:bCs/>
          <w:kern w:val="0"/>
          <w:sz w:val="24"/>
          <w:u w:val="single"/>
        </w:rPr>
        <w:t>）</w:t>
      </w:r>
      <w:r>
        <w:rPr>
          <w:rStyle w:val="26"/>
          <w:rFonts w:ascii="宋体" w:hAnsi="宋体"/>
          <w:b/>
          <w:bCs/>
          <w:kern w:val="0"/>
          <w:sz w:val="24"/>
          <w:u w:val="single"/>
        </w:rPr>
        <w:t>，否则</w:t>
      </w:r>
      <w:r>
        <w:rPr>
          <w:rStyle w:val="26"/>
          <w:rFonts w:ascii="宋体" w:hAnsi="宋体" w:cs="宋体"/>
          <w:b/>
          <w:bCs/>
          <w:kern w:val="0"/>
          <w:sz w:val="24"/>
          <w:u w:val="single"/>
        </w:rPr>
        <w:t>视为无效报价</w:t>
      </w:r>
      <w:r>
        <w:rPr>
          <w:rStyle w:val="26"/>
          <w:rFonts w:ascii="宋体" w:hAnsi="宋体"/>
          <w:b/>
          <w:bCs/>
          <w:kern w:val="0"/>
          <w:sz w:val="24"/>
          <w:u w:val="single"/>
        </w:rPr>
        <w:t>。在</w:t>
      </w:r>
      <w:r>
        <w:rPr>
          <w:rStyle w:val="26"/>
          <w:rFonts w:hint="eastAsia" w:ascii="宋体" w:hAnsi="宋体"/>
          <w:b/>
          <w:bCs/>
          <w:kern w:val="0"/>
          <w:sz w:val="24"/>
          <w:u w:val="single"/>
        </w:rPr>
        <w:t>网上竞价时间</w:t>
      </w:r>
      <w:r>
        <w:rPr>
          <w:rStyle w:val="26"/>
          <w:rFonts w:ascii="宋体" w:hAnsi="宋体"/>
          <w:b/>
          <w:bCs/>
          <w:kern w:val="0"/>
          <w:sz w:val="24"/>
          <w:u w:val="single"/>
        </w:rPr>
        <w:t>内</w:t>
      </w:r>
      <w:r>
        <w:rPr>
          <w:rStyle w:val="26"/>
          <w:rFonts w:hint="eastAsia" w:ascii="宋体" w:hAnsi="宋体"/>
          <w:b/>
          <w:bCs/>
          <w:kern w:val="0"/>
          <w:sz w:val="24"/>
          <w:u w:val="single"/>
        </w:rPr>
        <w:t>、同一供应商有</w:t>
      </w:r>
      <w:r>
        <w:rPr>
          <w:rStyle w:val="26"/>
          <w:rFonts w:ascii="宋体" w:hAnsi="宋体"/>
          <w:b/>
          <w:bCs/>
          <w:kern w:val="0"/>
          <w:sz w:val="24"/>
          <w:u w:val="single"/>
        </w:rPr>
        <w:t>多次报价的</w:t>
      </w:r>
      <w:r>
        <w:rPr>
          <w:rStyle w:val="26"/>
          <w:rFonts w:hint="eastAsia" w:ascii="宋体" w:hAnsi="宋体"/>
          <w:b/>
          <w:bCs/>
          <w:kern w:val="0"/>
          <w:sz w:val="24"/>
          <w:u w:val="single"/>
        </w:rPr>
        <w:t>情况下</w:t>
      </w:r>
      <w:r>
        <w:rPr>
          <w:rStyle w:val="26"/>
          <w:rFonts w:ascii="宋体" w:hAnsi="宋体"/>
          <w:b/>
          <w:bCs/>
          <w:kern w:val="0"/>
          <w:sz w:val="24"/>
          <w:u w:val="single"/>
        </w:rPr>
        <w:t>，</w:t>
      </w:r>
      <w:r>
        <w:rPr>
          <w:rStyle w:val="26"/>
          <w:rFonts w:hint="eastAsia" w:ascii="宋体" w:hAnsi="宋体"/>
          <w:b/>
          <w:bCs/>
          <w:kern w:val="0"/>
          <w:sz w:val="24"/>
          <w:u w:val="single"/>
        </w:rPr>
        <w:t>则该供应商的每一次</w:t>
      </w:r>
      <w:r>
        <w:rPr>
          <w:rStyle w:val="26"/>
          <w:rFonts w:ascii="宋体" w:hAnsi="宋体"/>
          <w:b/>
          <w:bCs/>
          <w:kern w:val="0"/>
          <w:sz w:val="24"/>
          <w:u w:val="single"/>
        </w:rPr>
        <w:t>报价金额必须小于自己上一次的报价金额，</w:t>
      </w:r>
      <w:r>
        <w:rPr>
          <w:rStyle w:val="26"/>
          <w:rFonts w:hint="eastAsia" w:ascii="宋体" w:hAnsi="宋体"/>
          <w:b/>
          <w:bCs/>
          <w:kern w:val="0"/>
          <w:sz w:val="24"/>
          <w:u w:val="single"/>
        </w:rPr>
        <w:t>同时以该供应商</w:t>
      </w:r>
      <w:r>
        <w:rPr>
          <w:rStyle w:val="26"/>
          <w:rFonts w:ascii="宋体" w:hAnsi="宋体"/>
          <w:b/>
          <w:bCs/>
          <w:kern w:val="0"/>
          <w:sz w:val="24"/>
          <w:u w:val="single"/>
        </w:rPr>
        <w:t>提交的最后一次报价作为</w:t>
      </w:r>
      <w:r>
        <w:rPr>
          <w:rStyle w:val="26"/>
          <w:rFonts w:hint="eastAsia" w:ascii="宋体" w:hAnsi="宋体"/>
          <w:b/>
          <w:bCs/>
          <w:kern w:val="0"/>
          <w:sz w:val="24"/>
          <w:u w:val="single"/>
        </w:rPr>
        <w:t>其最终有效报价</w:t>
      </w:r>
      <w:r>
        <w:rPr>
          <w:rStyle w:val="26"/>
          <w:rFonts w:ascii="宋体" w:hAnsi="宋体"/>
          <w:b/>
          <w:bCs/>
          <w:kern w:val="0"/>
          <w:sz w:val="24"/>
          <w:u w:val="single"/>
        </w:rPr>
        <w:t>。</w:t>
      </w:r>
      <w:r>
        <w:rPr>
          <w:rStyle w:val="26"/>
          <w:rFonts w:hint="eastAsia" w:ascii="宋体" w:hAnsi="宋体"/>
          <w:b/>
          <w:bCs/>
          <w:kern w:val="0"/>
          <w:sz w:val="24"/>
          <w:u w:val="single"/>
        </w:rPr>
        <w:t>投标人所报单价和合同包总价不得超过其对应的最高限价，否则响应无效。</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6"/>
          <w:rFonts w:ascii="宋体" w:hAnsi="宋体"/>
          <w:kern w:val="0"/>
          <w:sz w:val="24"/>
        </w:rPr>
      </w:pPr>
      <w:r>
        <w:rPr>
          <w:rFonts w:hint="eastAsia" w:ascii="宋体" w:hAnsi="宋体" w:cs="宋体"/>
          <w:sz w:val="24"/>
        </w:rPr>
        <w:t>1.</w:t>
      </w:r>
      <w:r>
        <w:rPr>
          <w:rStyle w:val="26"/>
          <w:rFonts w:hint="eastAsia" w:ascii="宋体" w:hAnsi="宋体"/>
          <w:kern w:val="0"/>
          <w:sz w:val="24"/>
        </w:rPr>
        <w:t>供应商</w:t>
      </w:r>
      <w:r>
        <w:rPr>
          <w:rStyle w:val="26"/>
          <w:rFonts w:ascii="宋体" w:hAnsi="宋体"/>
          <w:kern w:val="0"/>
          <w:sz w:val="24"/>
        </w:rPr>
        <w:t>在</w:t>
      </w:r>
      <w:r>
        <w:rPr>
          <w:rStyle w:val="26"/>
          <w:rFonts w:hint="eastAsia" w:ascii="宋体" w:hAnsi="宋体"/>
          <w:kern w:val="0"/>
          <w:sz w:val="24"/>
        </w:rPr>
        <w:t>完全满足网上竞价文件要求</w:t>
      </w:r>
      <w:r>
        <w:rPr>
          <w:rStyle w:val="26"/>
          <w:rFonts w:ascii="宋体" w:hAnsi="宋体"/>
          <w:kern w:val="0"/>
          <w:sz w:val="24"/>
        </w:rPr>
        <w:t>且报价有效的前提下，</w:t>
      </w:r>
      <w:r>
        <w:rPr>
          <w:rStyle w:val="26"/>
          <w:rFonts w:hint="eastAsia" w:ascii="宋体" w:hAnsi="宋体"/>
          <w:kern w:val="0"/>
          <w:sz w:val="24"/>
        </w:rPr>
        <w:t>最终有效报价</w:t>
      </w:r>
      <w:r>
        <w:rPr>
          <w:rStyle w:val="26"/>
          <w:rFonts w:ascii="宋体" w:hAnsi="宋体"/>
          <w:kern w:val="0"/>
          <w:sz w:val="24"/>
        </w:rPr>
        <w:t>最低者</w:t>
      </w:r>
      <w:r>
        <w:rPr>
          <w:rStyle w:val="26"/>
          <w:rFonts w:hint="eastAsia" w:ascii="宋体" w:hAnsi="宋体"/>
          <w:kern w:val="0"/>
          <w:sz w:val="24"/>
        </w:rPr>
        <w:t>为</w:t>
      </w:r>
      <w:r>
        <w:rPr>
          <w:rStyle w:val="26"/>
          <w:rFonts w:ascii="宋体" w:hAnsi="宋体"/>
          <w:kern w:val="0"/>
          <w:sz w:val="24"/>
        </w:rPr>
        <w:t>成交</w:t>
      </w:r>
      <w:r>
        <w:rPr>
          <w:rStyle w:val="26"/>
          <w:rFonts w:hint="eastAsia" w:ascii="宋体" w:hAnsi="宋体"/>
          <w:kern w:val="0"/>
          <w:sz w:val="24"/>
        </w:rPr>
        <w:t>候选人</w:t>
      </w:r>
      <w:r>
        <w:rPr>
          <w:rStyle w:val="26"/>
          <w:rFonts w:ascii="宋体" w:hAnsi="宋体"/>
          <w:kern w:val="0"/>
          <w:sz w:val="24"/>
        </w:rPr>
        <w:t>，若</w:t>
      </w:r>
      <w:r>
        <w:rPr>
          <w:rStyle w:val="26"/>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4"/>
        <w:spacing w:before="0" w:beforeAutospacing="0" w:after="0" w:afterAutospacing="0" w:line="360" w:lineRule="auto"/>
        <w:ind w:firstLine="482" w:firstLineChars="200"/>
        <w:rPr>
          <w:b/>
          <w:bCs/>
          <w:kern w:val="2"/>
        </w:rPr>
      </w:pPr>
      <w:r>
        <w:rPr>
          <w:rFonts w:hint="eastAsia"/>
          <w:b/>
          <w:bCs/>
          <w:kern w:val="2"/>
        </w:rPr>
        <w:t>七、如果</w:t>
      </w:r>
      <w:r>
        <w:rPr>
          <w:rStyle w:val="26"/>
          <w:rFonts w:hint="eastAsia"/>
          <w:b/>
          <w:bCs/>
          <w:kern w:val="0"/>
          <w:sz w:val="24"/>
        </w:rPr>
        <w:t>供应商</w:t>
      </w:r>
      <w:r>
        <w:rPr>
          <w:rFonts w:hint="eastAsia"/>
          <w:b/>
          <w:bCs/>
          <w:kern w:val="2"/>
        </w:rPr>
        <w:t>发生以下任何一种情况时，其网上竞价保证金将被不予退还：</w:t>
      </w:r>
    </w:p>
    <w:p>
      <w:pPr>
        <w:pStyle w:val="14"/>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4"/>
        <w:spacing w:before="0" w:beforeAutospacing="0" w:after="0" w:afterAutospacing="0" w:line="360" w:lineRule="auto"/>
        <w:ind w:firstLine="480" w:firstLineChars="200"/>
        <w:rPr>
          <w:kern w:val="2"/>
        </w:rPr>
      </w:pPr>
      <w:r>
        <w:rPr>
          <w:rFonts w:hint="eastAsia"/>
          <w:kern w:val="2"/>
        </w:rPr>
        <w:t>（2）成交供应商自动放弃成交资格的；</w:t>
      </w:r>
    </w:p>
    <w:p>
      <w:pPr>
        <w:pStyle w:val="14"/>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pPr>
        <w:pStyle w:val="14"/>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pPr>
        <w:pStyle w:val="9"/>
        <w:rPr>
          <w:b/>
          <w:bCs/>
          <w:color w:val="auto"/>
          <w:sz w:val="24"/>
          <w:u w:val="single"/>
        </w:rPr>
      </w:pPr>
      <w:bookmarkStart w:id="1" w:name="_Toc358016816"/>
      <w:bookmarkStart w:id="2" w:name="_Toc359317661"/>
      <w:bookmarkStart w:id="3" w:name="_Toc347060296"/>
      <w:bookmarkStart w:id="4" w:name="_Toc327948617"/>
      <w:bookmarkStart w:id="5" w:name="_Toc330567034"/>
      <w:bookmarkStart w:id="6" w:name="_Toc346300367"/>
      <w:r>
        <w:rPr>
          <w:rFonts w:hint="eastAsia"/>
          <w:color w:val="auto"/>
          <w:sz w:val="24"/>
        </w:rPr>
        <w:t>★</w:t>
      </w:r>
      <w:r>
        <w:rPr>
          <w:rFonts w:hint="eastAsia"/>
          <w:b/>
          <w:bCs/>
          <w:color w:val="auto"/>
          <w:sz w:val="24"/>
          <w:u w:val="single"/>
        </w:rPr>
        <w:t>注：本章所有条款均为不允许负偏离的实质性要求，有负偏离的响应无效。</w:t>
      </w:r>
    </w:p>
    <w:p>
      <w:pPr>
        <w:keepNext w:val="0"/>
        <w:keepLines w:val="0"/>
        <w:pageBreakBefore w:val="0"/>
        <w:widowControl w:val="0"/>
        <w:kinsoku/>
        <w:wordWrap/>
        <w:overflowPunct/>
        <w:topLinePunct w:val="0"/>
        <w:autoSpaceDE/>
        <w:autoSpaceDN/>
        <w:bidi w:val="0"/>
        <w:adjustRightInd/>
        <w:snapToGrid w:val="0"/>
        <w:spacing w:line="400" w:lineRule="exact"/>
        <w:ind w:firstLine="241" w:firstLineChars="100"/>
        <w:textAlignment w:val="auto"/>
        <w:outlineLvl w:val="9"/>
        <w:rPr>
          <w:rFonts w:ascii="宋体" w:hAnsi="宋体" w:cs="宋体"/>
          <w:b/>
          <w:color w:val="auto"/>
          <w:sz w:val="24"/>
        </w:rPr>
      </w:pPr>
      <w:r>
        <w:rPr>
          <w:rFonts w:hint="eastAsia" w:ascii="宋体" w:hAnsi="宋体" w:cs="宋体"/>
          <w:b/>
          <w:color w:val="auto"/>
          <w:sz w:val="24"/>
        </w:rPr>
        <w:t>一、项目概述</w:t>
      </w:r>
      <w:bookmarkEnd w:id="1"/>
      <w:bookmarkEnd w:id="2"/>
    </w:p>
    <w:p>
      <w:pPr>
        <w:pStyle w:val="28"/>
        <w:spacing w:line="400" w:lineRule="exact"/>
        <w:rPr>
          <w:rFonts w:ascii="宋体" w:hAnsi="宋体"/>
          <w:color w:val="auto"/>
          <w:sz w:val="24"/>
        </w:rPr>
      </w:pPr>
      <w:r>
        <w:rPr>
          <w:rFonts w:hint="eastAsia" w:ascii="宋体" w:hAnsi="宋体"/>
          <w:color w:val="auto"/>
          <w:sz w:val="24"/>
        </w:rPr>
        <w:t>（一）采购标的一览表（</w:t>
      </w:r>
      <w:r>
        <w:rPr>
          <w:rFonts w:hint="eastAsia" w:ascii="宋体" w:hAnsi="宋体"/>
          <w:color w:val="auto"/>
          <w:sz w:val="24"/>
          <w:szCs w:val="32"/>
        </w:rPr>
        <w:t>货物类</w:t>
      </w:r>
      <w:r>
        <w:rPr>
          <w:rFonts w:hint="eastAsia" w:ascii="宋体" w:hAnsi="宋体"/>
          <w:color w:val="auto"/>
          <w:sz w:val="24"/>
        </w:rPr>
        <w:t>）</w:t>
      </w:r>
    </w:p>
    <w:p>
      <w:pPr>
        <w:spacing w:line="360" w:lineRule="auto"/>
        <w:jc w:val="center"/>
        <w:rPr>
          <w:rFonts w:ascii="宋体" w:hAnsi="宋体"/>
          <w:color w:val="auto"/>
          <w:sz w:val="24"/>
        </w:rPr>
      </w:pPr>
      <w:r>
        <w:rPr>
          <w:rFonts w:hint="eastAsia" w:ascii="宋体" w:hAnsi="宋体"/>
          <w:color w:val="auto"/>
          <w:sz w:val="24"/>
        </w:rPr>
        <w:t xml:space="preserve">                                                金额单位：人民币元</w:t>
      </w:r>
    </w:p>
    <w:tbl>
      <w:tblPr>
        <w:tblStyle w:val="18"/>
        <w:tblW w:w="51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863"/>
        <w:gridCol w:w="2725"/>
        <w:gridCol w:w="1625"/>
        <w:gridCol w:w="1293"/>
        <w:gridCol w:w="1317"/>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49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合同包</w:t>
            </w:r>
          </w:p>
        </w:tc>
        <w:tc>
          <w:tcPr>
            <w:tcW w:w="423" w:type="pct"/>
            <w:tcBorders>
              <w:top w:val="single" w:color="auto" w:sz="4" w:space="0"/>
              <w:left w:val="single" w:color="auto" w:sz="4" w:space="0"/>
              <w:bottom w:val="single" w:color="auto" w:sz="4" w:space="0"/>
              <w:right w:val="single" w:color="auto" w:sz="4" w:space="0"/>
            </w:tcBorders>
            <w:vAlign w:val="center"/>
          </w:tcPr>
          <w:p>
            <w:pPr>
              <w:spacing w:line="360" w:lineRule="auto"/>
              <w:ind w:left="-199" w:leftChars="-95" w:right="-250" w:rightChars="-119" w:firstLine="0" w:firstLineChars="0"/>
              <w:jc w:val="center"/>
              <w:rPr>
                <w:rFonts w:ascii="宋体" w:hAnsi="宋体"/>
                <w:b/>
                <w:bCs/>
                <w:color w:val="auto"/>
                <w:kern w:val="0"/>
                <w:sz w:val="24"/>
              </w:rPr>
            </w:pPr>
            <w:r>
              <w:rPr>
                <w:rFonts w:hint="eastAsia" w:ascii="宋体" w:hAnsi="宋体"/>
                <w:b/>
                <w:bCs/>
                <w:color w:val="auto"/>
                <w:kern w:val="0"/>
                <w:sz w:val="24"/>
              </w:rPr>
              <w:t>品目号</w:t>
            </w:r>
          </w:p>
        </w:tc>
        <w:tc>
          <w:tcPr>
            <w:tcW w:w="13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货物名称</w:t>
            </w:r>
          </w:p>
        </w:tc>
        <w:tc>
          <w:tcPr>
            <w:tcW w:w="79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lang w:eastAsia="zh-CN"/>
              </w:rPr>
              <w:t>预估</w:t>
            </w:r>
            <w:r>
              <w:rPr>
                <w:rFonts w:hint="eastAsia" w:ascii="宋体" w:hAnsi="宋体"/>
                <w:b/>
                <w:bCs/>
                <w:color w:val="auto"/>
                <w:kern w:val="0"/>
                <w:sz w:val="24"/>
                <w:szCs w:val="22"/>
              </w:rPr>
              <w:t>数量</w:t>
            </w:r>
          </w:p>
        </w:tc>
        <w:tc>
          <w:tcPr>
            <w:tcW w:w="63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b/>
                <w:bCs/>
                <w:color w:val="auto"/>
                <w:kern w:val="0"/>
                <w:sz w:val="24"/>
                <w:szCs w:val="22"/>
                <w:lang w:eastAsia="zh-CN"/>
              </w:rPr>
            </w:pPr>
            <w:r>
              <w:rPr>
                <w:rFonts w:hint="eastAsia" w:ascii="宋体" w:hAnsi="宋体"/>
                <w:b/>
                <w:bCs/>
                <w:color w:val="auto"/>
                <w:kern w:val="0"/>
                <w:sz w:val="24"/>
                <w:szCs w:val="22"/>
                <w:lang w:eastAsia="zh-CN"/>
              </w:rPr>
              <w:t>单价最高限价</w:t>
            </w:r>
          </w:p>
          <w:p>
            <w:pPr>
              <w:spacing w:line="360" w:lineRule="auto"/>
              <w:jc w:val="center"/>
              <w:rPr>
                <w:rFonts w:hint="eastAsia" w:ascii="宋体" w:hAnsi="宋体" w:eastAsia="宋体"/>
                <w:b/>
                <w:bCs/>
                <w:color w:val="auto"/>
                <w:kern w:val="0"/>
                <w:sz w:val="24"/>
                <w:szCs w:val="22"/>
                <w:lang w:eastAsia="zh-CN"/>
              </w:rPr>
            </w:pPr>
            <w:r>
              <w:rPr>
                <w:rFonts w:hint="eastAsia" w:ascii="宋体" w:hAnsi="宋体"/>
                <w:b/>
                <w:bCs/>
                <w:color w:val="auto"/>
                <w:kern w:val="0"/>
                <w:sz w:val="24"/>
                <w:szCs w:val="22"/>
                <w:lang w:eastAsia="zh-CN"/>
              </w:rPr>
              <w:t>（元</w:t>
            </w:r>
            <w:r>
              <w:rPr>
                <w:rFonts w:hint="eastAsia" w:ascii="宋体" w:hAnsi="宋体"/>
                <w:b/>
                <w:bCs/>
                <w:color w:val="auto"/>
                <w:kern w:val="0"/>
                <w:sz w:val="24"/>
                <w:szCs w:val="22"/>
                <w:lang w:val="en-US" w:eastAsia="zh-CN"/>
              </w:rPr>
              <w:t>/</w:t>
            </w:r>
            <w:r>
              <w:rPr>
                <w:rFonts w:hint="eastAsia" w:ascii="宋体" w:hAnsi="宋体"/>
                <w:b/>
                <w:bCs/>
                <w:color w:val="auto"/>
                <w:kern w:val="0"/>
                <w:sz w:val="24"/>
                <w:szCs w:val="22"/>
                <w:lang w:eastAsia="zh-CN"/>
              </w:rPr>
              <w:t>米）</w:t>
            </w:r>
          </w:p>
        </w:tc>
        <w:tc>
          <w:tcPr>
            <w:tcW w:w="64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品目号</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c>
          <w:tcPr>
            <w:tcW w:w="6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合同包</w:t>
            </w:r>
          </w:p>
          <w:p>
            <w:pPr>
              <w:spacing w:line="360" w:lineRule="auto"/>
              <w:jc w:val="center"/>
              <w:rPr>
                <w:rFonts w:ascii="宋体" w:hAnsi="宋体"/>
                <w:b/>
                <w:bCs/>
                <w:color w:val="auto"/>
                <w:kern w:val="0"/>
                <w:sz w:val="24"/>
                <w:szCs w:val="22"/>
              </w:rPr>
            </w:pPr>
            <w:r>
              <w:rPr>
                <w:rFonts w:hint="eastAsia" w:ascii="宋体" w:hAnsi="宋体"/>
                <w:b/>
                <w:bCs/>
                <w:color w:val="auto"/>
                <w:kern w:val="0"/>
                <w:sz w:val="24"/>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90" w:type="pct"/>
            <w:tcBorders>
              <w:top w:val="single" w:color="auto" w:sz="4" w:space="0"/>
              <w:left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w:t>
            </w:r>
          </w:p>
        </w:tc>
        <w:tc>
          <w:tcPr>
            <w:tcW w:w="42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kern w:val="0"/>
                <w:sz w:val="24"/>
              </w:rPr>
            </w:pPr>
            <w:r>
              <w:rPr>
                <w:rFonts w:hint="eastAsia" w:ascii="宋体" w:hAnsi="宋体"/>
                <w:color w:val="auto"/>
                <w:kern w:val="0"/>
                <w:sz w:val="24"/>
              </w:rPr>
              <w:t>1-1</w:t>
            </w:r>
          </w:p>
        </w:tc>
        <w:tc>
          <w:tcPr>
            <w:tcW w:w="133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新宋体"/>
                <w:color w:val="auto"/>
                <w:kern w:val="0"/>
                <w:sz w:val="24"/>
                <w:lang w:eastAsia="zh-CN"/>
              </w:rPr>
            </w:pPr>
            <w:r>
              <w:rPr>
                <w:rFonts w:hint="eastAsia" w:ascii="宋体" w:hAnsi="宋体" w:cs="新宋体"/>
                <w:color w:val="auto"/>
                <w:kern w:val="0"/>
                <w:sz w:val="24"/>
                <w:lang w:eastAsia="zh-CN"/>
              </w:rPr>
              <w:t>窗帘轨道及</w:t>
            </w:r>
            <w:r>
              <w:rPr>
                <w:rFonts w:hint="eastAsia" w:ascii="宋体" w:hAnsi="宋体"/>
                <w:color w:val="auto"/>
                <w:kern w:val="0"/>
                <w:sz w:val="24"/>
                <w:highlight w:val="none"/>
                <w:lang w:eastAsia="zh-CN"/>
              </w:rPr>
              <w:t>高精度半遮光窗帘布（两倍褶皱）</w:t>
            </w:r>
            <w:r>
              <w:rPr>
                <w:rFonts w:hint="eastAsia" w:ascii="宋体" w:hAnsi="宋体" w:cs="新宋体"/>
                <w:color w:val="auto"/>
                <w:kern w:val="0"/>
                <w:sz w:val="24"/>
                <w:lang w:eastAsia="zh-CN"/>
              </w:rPr>
              <w:t>采购</w:t>
            </w:r>
          </w:p>
        </w:tc>
        <w:tc>
          <w:tcPr>
            <w:tcW w:w="797" w:type="pct"/>
            <w:tcBorders>
              <w:top w:val="single" w:color="auto" w:sz="4" w:space="0"/>
              <w:left w:val="single" w:color="auto" w:sz="4" w:space="0"/>
              <w:right w:val="single" w:color="auto" w:sz="4" w:space="0"/>
            </w:tcBorders>
            <w:vAlign w:val="center"/>
          </w:tcPr>
          <w:p>
            <w:pPr>
              <w:widowControl/>
              <w:spacing w:line="360" w:lineRule="auto"/>
              <w:ind w:left="0" w:leftChars="0" w:firstLine="0" w:firstLineChars="0"/>
              <w:jc w:val="center"/>
              <w:textAlignment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2000米</w:t>
            </w:r>
          </w:p>
          <w:p>
            <w:pPr>
              <w:widowControl/>
              <w:spacing w:line="360" w:lineRule="auto"/>
              <w:jc w:val="center"/>
              <w:textAlignment w:val="center"/>
              <w:rPr>
                <w:rFonts w:ascii="宋体" w:hAnsi="宋体" w:cs="宋体"/>
                <w:color w:val="auto"/>
                <w:kern w:val="0"/>
                <w:sz w:val="24"/>
                <w:highlight w:val="none"/>
              </w:rPr>
            </w:pPr>
            <w:r>
              <w:rPr>
                <w:rFonts w:hint="eastAsia" w:ascii="宋体" w:hAnsi="宋体" w:cs="宋体"/>
                <w:color w:val="000000" w:themeColor="text1"/>
                <w:kern w:val="0"/>
                <w:sz w:val="24"/>
                <w:highlight w:val="none"/>
                <w14:textFill>
                  <w14:solidFill>
                    <w14:schemeClr w14:val="tx1"/>
                  </w14:solidFill>
                </w14:textFill>
              </w:rPr>
              <w:t>（按</w:t>
            </w:r>
            <w:bookmarkStart w:id="27" w:name="_GoBack"/>
            <w:bookmarkEnd w:id="27"/>
            <w:r>
              <w:rPr>
                <w:rFonts w:hint="eastAsia" w:ascii="宋体" w:hAnsi="宋体" w:cs="宋体"/>
                <w:color w:val="000000" w:themeColor="text1"/>
                <w:kern w:val="0"/>
                <w:sz w:val="24"/>
                <w:highlight w:val="none"/>
                <w14:textFill>
                  <w14:solidFill>
                    <w14:schemeClr w14:val="tx1"/>
                  </w14:solidFill>
                </w14:textFill>
              </w:rPr>
              <w:t>实结算）</w:t>
            </w:r>
          </w:p>
        </w:tc>
        <w:tc>
          <w:tcPr>
            <w:tcW w:w="63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160</w:t>
            </w:r>
          </w:p>
        </w:tc>
        <w:tc>
          <w:tcPr>
            <w:tcW w:w="64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320000</w:t>
            </w:r>
          </w:p>
        </w:tc>
        <w:tc>
          <w:tcPr>
            <w:tcW w:w="670"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default" w:ascii="宋体" w:hAnsi="宋体" w:cs="新宋体"/>
                <w:color w:val="auto"/>
                <w:kern w:val="0"/>
                <w:sz w:val="24"/>
                <w:highlight w:val="none"/>
                <w:lang w:val="en-US"/>
              </w:rPr>
            </w:pPr>
            <w:r>
              <w:rPr>
                <w:rFonts w:hint="eastAsia" w:ascii="宋体" w:hAnsi="宋体" w:cs="新宋体"/>
                <w:color w:val="auto"/>
                <w:kern w:val="0"/>
                <w:sz w:val="24"/>
                <w:highlight w:val="none"/>
                <w:lang w:val="en-US" w:eastAsia="zh-CN"/>
              </w:rPr>
              <w:t>320000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000" w:type="pct"/>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kern w:val="0"/>
                <w:sz w:val="24"/>
              </w:rPr>
            </w:pPr>
            <w:r>
              <w:rPr>
                <w:rFonts w:hint="eastAsia" w:ascii="宋体" w:hAnsi="宋体"/>
                <w:color w:val="auto"/>
                <w:kern w:val="0"/>
                <w:sz w:val="24"/>
              </w:rPr>
              <w:t>备注：</w:t>
            </w:r>
          </w:p>
          <w:p>
            <w:pPr>
              <w:numPr>
                <w:ilvl w:val="0"/>
                <w:numId w:val="0"/>
              </w:numPr>
              <w:spacing w:line="360" w:lineRule="auto"/>
              <w:rPr>
                <w:rFonts w:hint="eastAsia" w:ascii="宋体" w:hAnsi="宋体"/>
                <w:color w:val="auto"/>
                <w:kern w:val="0"/>
                <w:sz w:val="24"/>
              </w:rPr>
            </w:pPr>
            <w:r>
              <w:rPr>
                <w:rFonts w:hint="eastAsia" w:ascii="宋体" w:hAnsi="宋体" w:eastAsia="宋体" w:cs="Times New Roman"/>
                <w:color w:val="auto"/>
                <w:kern w:val="0"/>
                <w:sz w:val="24"/>
                <w:szCs w:val="24"/>
                <w:lang w:val="en-US" w:eastAsia="zh-CN" w:bidi="ar-SA"/>
              </w:rPr>
              <w:t>1.</w:t>
            </w:r>
            <w:r>
              <w:rPr>
                <w:rFonts w:hint="eastAsia" w:ascii="宋体" w:hAnsi="宋体"/>
                <w:color w:val="auto"/>
                <w:kern w:val="0"/>
                <w:sz w:val="24"/>
              </w:rPr>
              <w:t>供应商的</w:t>
            </w:r>
            <w:r>
              <w:rPr>
                <w:rFonts w:hint="eastAsia" w:ascii="宋体" w:hAnsi="宋体"/>
                <w:color w:val="auto"/>
                <w:kern w:val="0"/>
                <w:sz w:val="24"/>
                <w:lang w:eastAsia="zh-CN"/>
              </w:rPr>
              <w:t>单价报价应为包干价，至少</w:t>
            </w:r>
            <w:r>
              <w:rPr>
                <w:rFonts w:hint="eastAsia" w:ascii="宋体" w:hAnsi="宋体"/>
                <w:color w:val="auto"/>
                <w:kern w:val="0"/>
                <w:sz w:val="24"/>
              </w:rPr>
              <w:t>包含有</w:t>
            </w:r>
            <w:r>
              <w:rPr>
                <w:rFonts w:hint="eastAsia" w:ascii="宋体" w:hAnsi="宋体"/>
                <w:color w:val="auto"/>
                <w:kern w:val="0"/>
                <w:sz w:val="24"/>
                <w:highlight w:val="none"/>
                <w:lang w:eastAsia="zh-CN"/>
              </w:rPr>
              <w:t>轨道、罗马杆、高精度半遮光窗帘布两倍褶皱、配件、</w:t>
            </w:r>
            <w:r>
              <w:rPr>
                <w:rFonts w:hint="eastAsia" w:ascii="宋体" w:hAnsi="宋体"/>
                <w:color w:val="auto"/>
                <w:kern w:val="0"/>
                <w:sz w:val="24"/>
              </w:rPr>
              <w:t>税费、货物生产、制造、包装、运输、人工、安装调试费及安装所需的辅料、验收、保修、退换货等履行本项目所</w:t>
            </w:r>
            <w:r>
              <w:rPr>
                <w:rFonts w:hint="eastAsia" w:ascii="宋体" w:hAnsi="宋体"/>
                <w:color w:val="auto"/>
                <w:kern w:val="0"/>
                <w:sz w:val="24"/>
                <w:lang w:val="en-US" w:eastAsia="zh-CN"/>
              </w:rPr>
              <w:t>需的</w:t>
            </w:r>
            <w:r>
              <w:rPr>
                <w:rFonts w:hint="eastAsia" w:ascii="宋体" w:hAnsi="宋体"/>
                <w:color w:val="auto"/>
                <w:kern w:val="0"/>
                <w:sz w:val="24"/>
              </w:rPr>
              <w:t>所有费用。</w:t>
            </w:r>
          </w:p>
          <w:p>
            <w:pPr>
              <w:numPr>
                <w:ilvl w:val="0"/>
                <w:numId w:val="0"/>
              </w:numPr>
              <w:spacing w:line="360" w:lineRule="auto"/>
              <w:rPr>
                <w:rFonts w:hint="default" w:ascii="宋体" w:hAnsi="宋体"/>
                <w:b/>
                <w:bCs/>
                <w:color w:val="auto"/>
                <w:kern w:val="0"/>
                <w:sz w:val="24"/>
                <w:lang w:val="en-US" w:eastAsia="zh-CN"/>
              </w:rPr>
            </w:pPr>
            <w:r>
              <w:rPr>
                <w:rFonts w:hint="eastAsia" w:ascii="宋体" w:hAnsi="宋体"/>
                <w:b/>
                <w:bCs/>
                <w:color w:val="auto"/>
                <w:kern w:val="0"/>
                <w:sz w:val="24"/>
                <w:lang w:val="en-US" w:eastAsia="zh-CN"/>
              </w:rPr>
              <w:t>2.本项目</w:t>
            </w:r>
            <w:r>
              <w:rPr>
                <w:rFonts w:hint="eastAsia" w:ascii="宋体" w:hAnsi="宋体"/>
                <w:b/>
                <w:bCs/>
                <w:color w:val="auto"/>
                <w:kern w:val="0"/>
                <w:sz w:val="24"/>
                <w:highlight w:val="none"/>
                <w:lang w:eastAsia="zh-CN"/>
              </w:rPr>
              <w:t>轨道预估数量：</w:t>
            </w:r>
            <w:r>
              <w:rPr>
                <w:rFonts w:hint="eastAsia" w:ascii="宋体" w:hAnsi="宋体"/>
                <w:b/>
                <w:bCs/>
                <w:color w:val="auto"/>
                <w:kern w:val="0"/>
                <w:sz w:val="24"/>
                <w:highlight w:val="none"/>
                <w:lang w:val="en-US" w:eastAsia="zh-CN"/>
              </w:rPr>
              <w:t>2000米，</w:t>
            </w:r>
            <w:r>
              <w:rPr>
                <w:rFonts w:hint="eastAsia" w:ascii="宋体" w:hAnsi="宋体"/>
                <w:b/>
                <w:bCs/>
                <w:color w:val="auto"/>
                <w:kern w:val="0"/>
                <w:sz w:val="24"/>
                <w:highlight w:val="none"/>
                <w:lang w:eastAsia="zh-CN"/>
              </w:rPr>
              <w:t>罗马杆预估数量：</w:t>
            </w:r>
            <w:r>
              <w:rPr>
                <w:rFonts w:hint="eastAsia" w:ascii="宋体" w:hAnsi="宋体"/>
                <w:b/>
                <w:bCs/>
                <w:color w:val="auto"/>
                <w:kern w:val="0"/>
                <w:sz w:val="24"/>
                <w:highlight w:val="none"/>
                <w:lang w:val="en-US" w:eastAsia="zh-CN"/>
              </w:rPr>
              <w:t>100米，</w:t>
            </w:r>
            <w:r>
              <w:rPr>
                <w:rFonts w:hint="eastAsia" w:ascii="宋体" w:hAnsi="宋体"/>
                <w:b/>
                <w:bCs/>
                <w:color w:val="auto"/>
                <w:kern w:val="0"/>
                <w:sz w:val="24"/>
                <w:highlight w:val="none"/>
                <w:lang w:eastAsia="zh-CN"/>
              </w:rPr>
              <w:t>高精度半遮光窗帘布预估数量</w:t>
            </w:r>
            <w:r>
              <w:rPr>
                <w:rFonts w:hint="eastAsia" w:ascii="宋体" w:hAnsi="宋体"/>
                <w:b/>
                <w:bCs/>
                <w:color w:val="auto"/>
                <w:kern w:val="0"/>
                <w:sz w:val="24"/>
                <w:highlight w:val="none"/>
                <w:lang w:val="en-US" w:eastAsia="zh-CN"/>
              </w:rPr>
              <w:t>4000米。均为预估项，实际数量以实际测量为准。</w:t>
            </w:r>
          </w:p>
          <w:p>
            <w:pPr>
              <w:numPr>
                <w:ilvl w:val="0"/>
                <w:numId w:val="0"/>
              </w:numPr>
              <w:spacing w:line="360" w:lineRule="auto"/>
              <w:rPr>
                <w:rFonts w:hint="eastAsia" w:ascii="宋体" w:hAnsi="宋体"/>
                <w:color w:val="auto"/>
                <w:kern w:val="0"/>
                <w:sz w:val="24"/>
                <w:lang w:val="en-US" w:eastAsia="zh-CN"/>
              </w:rPr>
            </w:pPr>
            <w:r>
              <w:rPr>
                <w:rFonts w:hint="eastAsia" w:ascii="宋体" w:hAnsi="宋体"/>
                <w:color w:val="auto"/>
                <w:kern w:val="0"/>
                <w:sz w:val="24"/>
                <w:lang w:val="en-US" w:eastAsia="zh-CN"/>
              </w:rPr>
              <w:t>3.本表中的预估数量仅供供应商参考，本项目按实结算，实际结算金额=成交单价×实际</w:t>
            </w:r>
            <w:r>
              <w:rPr>
                <w:rFonts w:hint="eastAsia" w:ascii="宋体" w:hAnsi="宋体"/>
                <w:color w:val="auto"/>
                <w:kern w:val="0"/>
                <w:sz w:val="24"/>
              </w:rPr>
              <w:t>采购</w:t>
            </w:r>
            <w:r>
              <w:rPr>
                <w:rFonts w:hint="eastAsia" w:ascii="宋体" w:hAnsi="宋体"/>
                <w:color w:val="auto"/>
                <w:kern w:val="0"/>
                <w:sz w:val="24"/>
                <w:lang w:val="en-US" w:eastAsia="zh-CN"/>
              </w:rPr>
              <w:t>供货数量。</w:t>
            </w:r>
          </w:p>
          <w:p>
            <w:pPr>
              <w:numPr>
                <w:ilvl w:val="0"/>
                <w:numId w:val="0"/>
              </w:numPr>
              <w:spacing w:line="360" w:lineRule="auto"/>
              <w:rPr>
                <w:rFonts w:hint="eastAsia" w:ascii="宋体" w:hAnsi="宋体"/>
                <w:color w:val="auto"/>
                <w:kern w:val="0"/>
                <w:sz w:val="24"/>
                <w:lang w:val="en-US" w:eastAsia="zh-CN"/>
              </w:rPr>
            </w:pPr>
            <w:r>
              <w:rPr>
                <w:rFonts w:hint="eastAsia" w:ascii="宋体" w:hAnsi="宋体"/>
                <w:color w:val="auto"/>
                <w:kern w:val="0"/>
                <w:sz w:val="24"/>
                <w:lang w:val="en-US" w:eastAsia="zh-CN"/>
              </w:rPr>
              <w:t>4.供应商在网上竞价系统中填写的合同包金额=投标单价×预估数量。在竞价结束后，采购人将按照成交人的合同包金额报价/预估数量计算成交单价，成交单价保留小数点后四位，第五位四舍五入。该成交单价将作为结算依据，结算金额=成交单价×实际采购数量。</w:t>
            </w:r>
          </w:p>
          <w:p>
            <w:pPr>
              <w:numPr>
                <w:ilvl w:val="0"/>
                <w:numId w:val="0"/>
              </w:numPr>
              <w:spacing w:line="360" w:lineRule="auto"/>
              <w:rPr>
                <w:rFonts w:hint="default" w:ascii="宋体" w:hAnsi="宋体"/>
                <w:color w:val="0000FF"/>
                <w:kern w:val="0"/>
                <w:sz w:val="24"/>
                <w:lang w:val="en-US" w:eastAsia="zh-CN"/>
              </w:rPr>
            </w:pPr>
            <w:r>
              <w:rPr>
                <w:rFonts w:hint="eastAsia" w:ascii="宋体" w:hAnsi="宋体"/>
                <w:color w:val="auto"/>
                <w:kern w:val="0"/>
                <w:sz w:val="24"/>
                <w:lang w:val="en-US" w:eastAsia="zh-CN"/>
              </w:rPr>
              <w:t>5.</w:t>
            </w:r>
            <w:r>
              <w:rPr>
                <w:rFonts w:hint="eastAsia" w:ascii="宋体" w:hAnsi="宋体"/>
                <w:color w:val="auto"/>
                <w:kern w:val="0"/>
                <w:sz w:val="24"/>
                <w:highlight w:val="none"/>
                <w:lang w:val="en-US" w:eastAsia="zh-CN"/>
              </w:rPr>
              <w:t>本项目在监管场所施工，每日工作时间有限，供应商应充分考虑成本，不得恶意报价</w:t>
            </w:r>
            <w:r>
              <w:rPr>
                <w:rFonts w:hint="eastAsia" w:ascii="宋体" w:hAnsi="宋体"/>
                <w:color w:val="0000FF"/>
                <w:kern w:val="0"/>
                <w:sz w:val="24"/>
                <w:highlight w:val="none"/>
                <w:lang w:val="en-US" w:eastAsia="zh-CN"/>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textAlignment w:val="auto"/>
        <w:outlineLvl w:val="9"/>
        <w:rPr>
          <w:rFonts w:cs="宋体"/>
          <w:b w:val="0"/>
          <w:color w:val="auto"/>
          <w:sz w:val="24"/>
          <w:szCs w:val="24"/>
        </w:rPr>
      </w:pPr>
      <w:r>
        <w:rPr>
          <w:rFonts w:hint="eastAsia" w:cs="宋体"/>
          <w:b w:val="0"/>
          <w:color w:val="auto"/>
          <w:sz w:val="24"/>
          <w:szCs w:val="24"/>
        </w:rPr>
        <w:t>（二）本项目合同包成交候选人数量：1名。</w:t>
      </w:r>
    </w:p>
    <w:p>
      <w:pPr>
        <w:snapToGrid w:val="0"/>
        <w:spacing w:line="400" w:lineRule="exact"/>
        <w:ind w:firstLine="482" w:firstLineChars="200"/>
        <w:jc w:val="left"/>
        <w:rPr>
          <w:rFonts w:hint="eastAsia" w:eastAsia="宋体"/>
          <w:b/>
          <w:color w:val="auto"/>
          <w:sz w:val="24"/>
          <w:lang w:eastAsia="zh-CN"/>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pPr>
        <w:pStyle w:val="33"/>
        <w:spacing w:line="360" w:lineRule="auto"/>
        <w:rPr>
          <w:rFonts w:hint="default" w:ascii="宋体" w:hAnsi="宋体" w:eastAsia="宋体" w:cs="宋体"/>
          <w:b/>
          <w:sz w:val="24"/>
          <w:szCs w:val="24"/>
          <w:highlight w:val="none"/>
          <w:lang w:val="en-US" w:eastAsia="zh-CN"/>
        </w:rPr>
      </w:pPr>
      <w:r>
        <w:rPr>
          <w:rFonts w:hint="eastAsia" w:asciiTheme="minorEastAsia" w:hAnsiTheme="minorEastAsia" w:eastAsiaTheme="minorEastAsia" w:cstheme="minorEastAsia"/>
          <w:color w:val="auto"/>
          <w:sz w:val="24"/>
          <w:szCs w:val="24"/>
        </w:rPr>
        <w:t>1.产品详细参数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180"/>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序号</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货物名称</w:t>
            </w:r>
          </w:p>
        </w:tc>
        <w:tc>
          <w:tcPr>
            <w:tcW w:w="779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轨道</w:t>
            </w:r>
          </w:p>
        </w:tc>
        <w:tc>
          <w:tcPr>
            <w:tcW w:w="7791" w:type="dxa"/>
            <w:vAlign w:val="center"/>
          </w:tcPr>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1、超强度6063-T5浇注一次成型型材。里外统一电泳涂漆工艺处理，颜色为瓷白色，高温时效；</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2、宽度：≥30.5mm；</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3、高度：≥26.1mm；</w:t>
            </w:r>
          </w:p>
          <w:p>
            <w:pPr>
              <w:widowControl/>
              <w:spacing w:line="400" w:lineRule="exact"/>
              <w:jc w:val="left"/>
              <w:rPr>
                <w:rFonts w:hint="eastAsia" w:ascii="宋体" w:hAnsi="宋体" w:cs="宋体"/>
                <w:color w:val="auto"/>
                <w:sz w:val="24"/>
                <w:highlight w:val="none"/>
              </w:rPr>
            </w:pPr>
            <w:r>
              <w:rPr>
                <w:rFonts w:hint="eastAsia" w:ascii="宋体" w:hAnsi="宋体" w:cs="宋体"/>
                <w:color w:val="auto"/>
                <w:sz w:val="24"/>
                <w:highlight w:val="none"/>
              </w:rPr>
              <w:t>4、壁厚：≥1.2mm；</w:t>
            </w:r>
          </w:p>
          <w:p>
            <w:pPr>
              <w:widowControl/>
              <w:spacing w:line="400" w:lineRule="exact"/>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5、开口尺寸：≥6.65mm；                                                                                       6、电泳层厚度≥10μm；                                                                                        7、中间含有≥4.1mm的隔音层</w:t>
            </w:r>
            <w:r>
              <w:rPr>
                <w:rFonts w:hint="eastAsia" w:ascii="宋体" w:hAnsi="宋体" w:cs="宋体"/>
                <w:color w:val="auto"/>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color w:val="auto"/>
                <w:sz w:val="24"/>
                <w:highlight w:val="none"/>
              </w:rPr>
              <w:t>8、轨道采用双层壁轨道，中间含有隔音层，减少噪音；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olor w:val="000000"/>
                <w:kern w:val="28"/>
                <w:sz w:val="24"/>
              </w:rPr>
              <w:t>罗马杆</w:t>
            </w:r>
          </w:p>
        </w:tc>
        <w:tc>
          <w:tcPr>
            <w:tcW w:w="7791" w:type="dxa"/>
            <w:vAlign w:val="center"/>
          </w:tcPr>
          <w:p>
            <w:pPr>
              <w:keepNext w:val="0"/>
              <w:keepLines w:val="0"/>
              <w:widowControl/>
              <w:spacing w:line="400" w:lineRule="exact"/>
              <w:rPr>
                <w:rFonts w:hint="eastAsia" w:ascii="宋体" w:hAnsi="宋体" w:cs="宋体"/>
                <w:color w:val="auto"/>
                <w:sz w:val="24"/>
                <w:highlight w:val="none"/>
              </w:rPr>
            </w:pPr>
            <w:r>
              <w:rPr>
                <w:rFonts w:hint="eastAsia" w:ascii="宋体" w:hAnsi="宋体" w:cs="宋体"/>
                <w:color w:val="auto"/>
                <w:sz w:val="24"/>
                <w:highlight w:val="none"/>
              </w:rPr>
              <w:t>1、选用铝合金挤压一次成型，直径≥35mm，横截面厚度≥2.5mm；</w:t>
            </w:r>
            <w:r>
              <w:rPr>
                <w:rFonts w:hint="eastAsia" w:ascii="宋体" w:hAnsi="宋体" w:cs="宋体"/>
                <w:color w:val="auto"/>
                <w:sz w:val="24"/>
                <w:highlight w:val="none"/>
              </w:rPr>
              <w:br w:type="textWrapping"/>
            </w:r>
            <w:r>
              <w:rPr>
                <w:rFonts w:hint="eastAsia" w:ascii="宋体" w:hAnsi="宋体" w:cs="宋体"/>
                <w:color w:val="auto"/>
                <w:sz w:val="24"/>
                <w:highlight w:val="none"/>
              </w:rPr>
              <w:t>2、内带≥5条加强筋支撑，加强筋横截面厚度≥1.2mm，增强轨道的强度，保证5米以内不弯曲。</w:t>
            </w:r>
            <w:r>
              <w:rPr>
                <w:rFonts w:hint="eastAsia" w:ascii="宋体" w:hAnsi="宋体" w:cs="宋体"/>
                <w:color w:val="auto"/>
                <w:sz w:val="24"/>
                <w:highlight w:val="none"/>
              </w:rPr>
              <w:br w:type="textWrapping"/>
            </w:r>
            <w:r>
              <w:rPr>
                <w:rFonts w:hint="eastAsia" w:ascii="宋体" w:hAnsi="宋体" w:cs="宋体"/>
                <w:color w:val="auto"/>
                <w:sz w:val="24"/>
                <w:highlight w:val="none"/>
              </w:rPr>
              <w:t>3、罗马杆外部具有≥6条加强筋，减少罗马杆与罗马圈的接触面积，减少摩擦，减少噪音。</w:t>
            </w:r>
          </w:p>
          <w:p>
            <w:pPr>
              <w:pStyle w:val="2"/>
              <w:spacing w:before="0" w:after="0" w:line="360" w:lineRule="auto"/>
              <w:rPr>
                <w:rFonts w:hint="eastAsia"/>
                <w:lang w:val="en-US" w:eastAsia="zh-CN"/>
              </w:rPr>
            </w:pPr>
            <w:r>
              <w:rPr>
                <w:rFonts w:hint="eastAsia" w:ascii="宋体" w:hAnsi="宋体" w:cs="宋体"/>
                <w:b/>
                <w:bCs/>
                <w:color w:val="auto"/>
                <w:sz w:val="24"/>
                <w:szCs w:val="24"/>
                <w:highlight w:val="none"/>
                <w:lang w:val="en-US" w:eastAsia="zh-CN"/>
              </w:rPr>
              <w:t>注：罗马杆数量</w:t>
            </w:r>
            <w:r>
              <w:rPr>
                <w:rFonts w:hint="eastAsia" w:ascii="宋体" w:hAnsi="宋体" w:cs="宋体"/>
                <w:b/>
                <w:bCs/>
                <w:color w:val="auto"/>
                <w:sz w:val="24"/>
                <w:szCs w:val="24"/>
                <w:highlight w:val="none"/>
              </w:rPr>
              <w:t>约100米（罗马杆为预估项，是否需要安装按照实际情况由采购人决定）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18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olor w:val="auto"/>
                <w:kern w:val="0"/>
                <w:sz w:val="24"/>
                <w:highlight w:val="none"/>
                <w:lang w:eastAsia="zh-CN"/>
              </w:rPr>
              <w:t>高精度半遮光窗帘布（两倍褶皱）</w:t>
            </w:r>
          </w:p>
        </w:tc>
        <w:tc>
          <w:tcPr>
            <w:tcW w:w="7791" w:type="dxa"/>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r>
              <w:rPr>
                <w:rFonts w:hint="eastAsia" w:ascii="宋体" w:hAnsi="宋体" w:eastAsia="宋体" w:cs="宋体"/>
                <w:b w:val="0"/>
                <w:bCs w:val="0"/>
                <w:color w:val="auto"/>
                <w:sz w:val="24"/>
                <w:szCs w:val="24"/>
                <w:highlight w:val="none"/>
                <w:vertAlign w:val="baseline"/>
                <w:lang w:val="en-US" w:eastAsia="zh-CN"/>
              </w:rPr>
              <w:t>材质：100%聚酯纤维；</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r>
              <w:rPr>
                <w:rFonts w:hint="eastAsia" w:ascii="宋体" w:hAnsi="宋体" w:eastAsia="宋体" w:cs="宋体"/>
                <w:b w:val="0"/>
                <w:bCs w:val="0"/>
                <w:color w:val="auto"/>
                <w:sz w:val="24"/>
                <w:szCs w:val="24"/>
                <w:highlight w:val="none"/>
                <w:vertAlign w:val="baseline"/>
                <w:lang w:val="en-US" w:eastAsia="zh-CN"/>
              </w:rPr>
              <w:t>、克重：≥2</w:t>
            </w:r>
            <w:r>
              <w:rPr>
                <w:rFonts w:hint="eastAsia" w:ascii="宋体" w:hAnsi="宋体" w:cs="宋体"/>
                <w:b w:val="0"/>
                <w:bCs w:val="0"/>
                <w:color w:val="auto"/>
                <w:sz w:val="24"/>
                <w:szCs w:val="24"/>
                <w:highlight w:val="none"/>
                <w:vertAlign w:val="baseline"/>
                <w:lang w:val="en-US" w:eastAsia="zh-CN"/>
              </w:rPr>
              <w:t>85</w:t>
            </w:r>
            <w:r>
              <w:rPr>
                <w:rFonts w:hint="eastAsia" w:ascii="宋体" w:hAnsi="宋体" w:eastAsia="宋体" w:cs="宋体"/>
                <w:b w:val="0"/>
                <w:bCs w:val="0"/>
                <w:color w:val="auto"/>
                <w:sz w:val="24"/>
                <w:szCs w:val="24"/>
                <w:highlight w:val="none"/>
                <w:vertAlign w:val="baseline"/>
                <w:lang w:val="en-US" w:eastAsia="zh-CN"/>
              </w:rPr>
              <w:t>g/㎡；</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耐光色牢度（级）</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3</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测试方法参照：GB/T8427-2008</w:t>
            </w:r>
            <w:r>
              <w:rPr>
                <w:rFonts w:hint="eastAsia" w:ascii="宋体" w:hAnsi="宋体" w:eastAsia="宋体" w:cs="宋体"/>
                <w:b w:val="0"/>
                <w:bCs w:val="0"/>
                <w:color w:val="auto"/>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lang w:val="en-US" w:eastAsia="zh-CN"/>
              </w:rPr>
              <w:t>、甲醛含量:</w:t>
            </w:r>
            <w:r>
              <w:rPr>
                <w:rFonts w:hint="eastAsia" w:ascii="宋体" w:hAnsi="宋体" w:cs="宋体"/>
                <w:b w:val="0"/>
                <w:bCs w:val="0"/>
                <w:color w:val="auto"/>
                <w:sz w:val="24"/>
                <w:szCs w:val="24"/>
                <w:highlight w:val="none"/>
                <w:vertAlign w:val="baseline"/>
                <w:lang w:val="en-US" w:eastAsia="zh-CN"/>
              </w:rPr>
              <w:t>未检出</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测试方法参照：GB/T2912.1-2009；</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r>
              <w:rPr>
                <w:rFonts w:hint="eastAsia" w:ascii="宋体" w:hAnsi="宋体" w:eastAsia="宋体" w:cs="宋体"/>
                <w:b w:val="0"/>
                <w:bCs w:val="0"/>
                <w:color w:val="auto"/>
                <w:sz w:val="24"/>
                <w:szCs w:val="24"/>
                <w:highlight w:val="none"/>
                <w:vertAlign w:val="baseline"/>
                <w:lang w:val="en-US" w:eastAsia="zh-CN"/>
              </w:rPr>
              <w:t>、PH值：</w:t>
            </w:r>
            <w:r>
              <w:rPr>
                <w:rFonts w:hint="eastAsia" w:ascii="宋体" w:hAnsi="宋体" w:cs="宋体"/>
                <w:b w:val="0"/>
                <w:bCs w:val="0"/>
                <w:color w:val="auto"/>
                <w:sz w:val="24"/>
                <w:szCs w:val="24"/>
                <w:highlight w:val="none"/>
                <w:vertAlign w:val="baseline"/>
                <w:lang w:val="en-US" w:eastAsia="zh-CN"/>
              </w:rPr>
              <w:t>5</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6.5</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测试方法参照：GB/T7573-2009；</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6</w:t>
            </w:r>
            <w:r>
              <w:rPr>
                <w:rFonts w:hint="eastAsia" w:ascii="宋体" w:hAnsi="宋体" w:eastAsia="宋体" w:cs="宋体"/>
                <w:b w:val="0"/>
                <w:bCs w:val="0"/>
                <w:color w:val="auto"/>
                <w:sz w:val="24"/>
                <w:szCs w:val="24"/>
                <w:highlight w:val="none"/>
                <w:vertAlign w:val="baseline"/>
                <w:lang w:val="en-US" w:eastAsia="zh-CN"/>
              </w:rPr>
              <w:t>、异味:无异味；</w:t>
            </w:r>
            <w:r>
              <w:rPr>
                <w:rFonts w:hint="eastAsia" w:ascii="宋体" w:hAnsi="宋体" w:cs="宋体"/>
                <w:b w:val="0"/>
                <w:bCs w:val="0"/>
                <w:color w:val="auto"/>
                <w:sz w:val="24"/>
                <w:szCs w:val="24"/>
                <w:highlight w:val="none"/>
                <w:vertAlign w:val="baseline"/>
                <w:lang w:val="en-US" w:eastAsia="zh-CN"/>
              </w:rPr>
              <w:t>GB18401-2010；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7</w:t>
            </w:r>
            <w:r>
              <w:rPr>
                <w:rFonts w:hint="eastAsia" w:ascii="宋体" w:hAnsi="宋体" w:eastAsia="宋体" w:cs="宋体"/>
                <w:b w:val="0"/>
                <w:bCs w:val="0"/>
                <w:color w:val="auto"/>
                <w:sz w:val="24"/>
                <w:szCs w:val="24"/>
                <w:highlight w:val="none"/>
                <w:vertAlign w:val="baseline"/>
                <w:lang w:val="en-US" w:eastAsia="zh-CN"/>
              </w:rPr>
              <w:t>、可分解致癌芳香胺染料:</w:t>
            </w:r>
            <w:r>
              <w:rPr>
                <w:rFonts w:hint="eastAsia" w:ascii="宋体" w:hAnsi="宋体" w:cs="宋体"/>
                <w:b w:val="0"/>
                <w:bCs w:val="0"/>
                <w:color w:val="auto"/>
                <w:sz w:val="24"/>
                <w:szCs w:val="24"/>
                <w:highlight w:val="none"/>
                <w:vertAlign w:val="baseline"/>
                <w:lang w:val="en-US" w:eastAsia="zh-CN"/>
              </w:rPr>
              <w:t>≤10</w:t>
            </w:r>
            <w:r>
              <w:rPr>
                <w:rFonts w:hint="eastAsia" w:ascii="宋体" w:hAnsi="宋体" w:eastAsia="宋体" w:cs="宋体"/>
                <w:b w:val="0"/>
                <w:bCs w:val="0"/>
                <w:color w:val="auto"/>
                <w:sz w:val="24"/>
                <w:szCs w:val="24"/>
                <w:highlight w:val="none"/>
                <w:vertAlign w:val="baseli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8</w:t>
            </w:r>
            <w:r>
              <w:rPr>
                <w:rFonts w:hint="eastAsia" w:ascii="宋体" w:hAnsi="宋体" w:eastAsia="宋体" w:cs="宋体"/>
                <w:b w:val="0"/>
                <w:bCs w:val="0"/>
                <w:color w:val="auto"/>
                <w:sz w:val="24"/>
                <w:szCs w:val="24"/>
                <w:highlight w:val="none"/>
                <w:vertAlign w:val="baseline"/>
                <w:lang w:val="en-US" w:eastAsia="zh-CN"/>
              </w:rPr>
              <w:t>、水洗尺度变化率经向:-</w:t>
            </w:r>
            <w:r>
              <w:rPr>
                <w:rFonts w:hint="eastAsia" w:ascii="宋体" w:hAnsi="宋体" w:cs="宋体"/>
                <w:b w:val="0"/>
                <w:bCs w:val="0"/>
                <w:color w:val="auto"/>
                <w:sz w:val="24"/>
                <w:szCs w:val="24"/>
                <w:highlight w:val="none"/>
                <w:vertAlign w:val="baseline"/>
                <w:lang w:val="en-US" w:eastAsia="zh-CN"/>
              </w:rPr>
              <w:t>0.3---2</w:t>
            </w:r>
            <w:r>
              <w:rPr>
                <w:rFonts w:hint="eastAsia" w:ascii="宋体" w:hAnsi="宋体" w:eastAsia="宋体" w:cs="宋体"/>
                <w:b w:val="0"/>
                <w:bCs w:val="0"/>
                <w:color w:val="auto"/>
                <w:sz w:val="24"/>
                <w:szCs w:val="24"/>
                <w:highlight w:val="none"/>
                <w:vertAlign w:val="baseline"/>
                <w:lang w:val="en-US" w:eastAsia="zh-CN"/>
              </w:rPr>
              <w:t>；纬向:</w:t>
            </w:r>
            <w:r>
              <w:rPr>
                <w:rFonts w:hint="eastAsia" w:ascii="宋体" w:hAnsi="宋体" w:cs="宋体"/>
                <w:b w:val="0"/>
                <w:bCs w:val="0"/>
                <w:color w:val="auto"/>
                <w:sz w:val="24"/>
                <w:szCs w:val="24"/>
                <w:highlight w:val="none"/>
                <w:vertAlign w:val="baseline"/>
                <w:lang w:val="en-US" w:eastAsia="zh-CN"/>
              </w:rPr>
              <w:t>1---2；</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9</w:t>
            </w:r>
            <w:r>
              <w:rPr>
                <w:rFonts w:hint="eastAsia" w:ascii="宋体" w:hAnsi="宋体" w:eastAsia="宋体" w:cs="宋体"/>
                <w:b w:val="0"/>
                <w:bCs w:val="0"/>
                <w:color w:val="auto"/>
                <w:sz w:val="24"/>
                <w:szCs w:val="24"/>
                <w:highlight w:val="none"/>
                <w:vertAlign w:val="baseline"/>
                <w:lang w:val="en-US" w:eastAsia="zh-CN"/>
              </w:rPr>
              <w:t>、耐光色牢度（级）≥3；</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10</w:t>
            </w:r>
            <w:r>
              <w:rPr>
                <w:rFonts w:hint="eastAsia" w:ascii="宋体" w:hAnsi="宋体" w:eastAsia="宋体" w:cs="宋体"/>
                <w:b w:val="0"/>
                <w:bCs w:val="0"/>
                <w:color w:val="auto"/>
                <w:sz w:val="24"/>
                <w:szCs w:val="24"/>
                <w:highlight w:val="none"/>
                <w:vertAlign w:val="baseline"/>
                <w:lang w:val="en-US" w:eastAsia="zh-CN"/>
              </w:rPr>
              <w:t>、断裂强力（N）经向≥</w:t>
            </w:r>
            <w:r>
              <w:rPr>
                <w:rFonts w:hint="eastAsia" w:ascii="宋体" w:hAnsi="宋体" w:cs="宋体"/>
                <w:b w:val="0"/>
                <w:bCs w:val="0"/>
                <w:color w:val="auto"/>
                <w:sz w:val="24"/>
                <w:szCs w:val="24"/>
                <w:highlight w:val="none"/>
                <w:vertAlign w:val="baseline"/>
                <w:lang w:val="en-US" w:eastAsia="zh-CN"/>
              </w:rPr>
              <w:t>1200</w:t>
            </w:r>
            <w:r>
              <w:rPr>
                <w:rFonts w:hint="eastAsia" w:ascii="宋体" w:hAnsi="宋体" w:eastAsia="宋体" w:cs="宋体"/>
                <w:b w:val="0"/>
                <w:bCs w:val="0"/>
                <w:color w:val="auto"/>
                <w:sz w:val="24"/>
                <w:szCs w:val="24"/>
                <w:highlight w:val="none"/>
                <w:vertAlign w:val="baseline"/>
                <w:lang w:val="en-US" w:eastAsia="zh-CN"/>
              </w:rPr>
              <w:t>；纬向≥</w:t>
            </w:r>
            <w:r>
              <w:rPr>
                <w:rFonts w:hint="eastAsia" w:ascii="宋体" w:hAnsi="宋体" w:cs="宋体"/>
                <w:b w:val="0"/>
                <w:bCs w:val="0"/>
                <w:color w:val="auto"/>
                <w:sz w:val="24"/>
                <w:szCs w:val="24"/>
                <w:highlight w:val="none"/>
                <w:vertAlign w:val="baseline"/>
                <w:lang w:val="en-US" w:eastAsia="zh-CN"/>
              </w:rPr>
              <w:t>900</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测试方法参照GB/T3923.1-2013；</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11</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表明拒水性</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测试方法参照GB/T4745-2012洗涤法；</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12</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易去污性</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4</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测试方法参照FZ/T01118-2012洗涤法；</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13</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防紫外线性能评定：</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 xml:space="preserve">T(UVA)AV≤0.05% </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T(UVB)AV≤0.05%</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UPF AV&gt;50</w:t>
            </w:r>
            <w:r>
              <w:rPr>
                <w:rFonts w:hint="eastAsia" w:ascii="宋体" w:hAnsi="宋体" w:eastAsia="宋体" w:cs="宋体"/>
                <w:b w:val="0"/>
                <w:bCs w:val="0"/>
                <w:color w:val="auto"/>
                <w:sz w:val="24"/>
                <w:szCs w:val="24"/>
                <w:highlight w:val="none"/>
                <w:vertAlign w:val="baseline"/>
                <w:lang w:val="en-US" w:eastAsia="zh-CN"/>
              </w:rPr>
              <w:t>；</w:t>
            </w:r>
            <w:r>
              <w:rPr>
                <w:rFonts w:hint="eastAsia" w:ascii="宋体" w:hAnsi="宋体" w:cs="宋体"/>
                <w:b w:val="0"/>
                <w:bCs w:val="0"/>
                <w:color w:val="auto"/>
                <w:sz w:val="24"/>
                <w:szCs w:val="24"/>
                <w:highlight w:val="none"/>
                <w:vertAlign w:val="baseline"/>
                <w:lang w:val="en-US" w:eastAsia="zh-CN"/>
              </w:rPr>
              <w:t>UPF&gt;50；</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14</w:t>
            </w:r>
            <w:r>
              <w:rPr>
                <w:rFonts w:hint="eastAsia" w:ascii="宋体" w:hAnsi="宋体" w:eastAsia="宋体" w:cs="宋体"/>
                <w:b w:val="0"/>
                <w:bCs w:val="0"/>
                <w:color w:val="auto"/>
                <w:sz w:val="24"/>
                <w:szCs w:val="24"/>
                <w:highlight w:val="none"/>
                <w:vertAlign w:val="baseline"/>
                <w:lang w:val="en-US" w:eastAsia="zh-CN"/>
              </w:rPr>
              <w:t>、</w:t>
            </w:r>
            <w:r>
              <w:rPr>
                <w:rFonts w:hint="eastAsia"/>
                <w:sz w:val="24"/>
              </w:rPr>
              <w:t>颜色根据采购人要求定制</w:t>
            </w:r>
            <w:r>
              <w:rPr>
                <w:rFonts w:hint="eastAsia"/>
                <w:sz w:val="24"/>
                <w:lang w:eastAsia="zh-CN"/>
              </w:rPr>
              <w:t>。</w:t>
            </w:r>
          </w:p>
          <w:p>
            <w:pPr>
              <w:keepNext w:val="0"/>
              <w:keepLines w:val="0"/>
              <w:pageBreakBefore w:val="0"/>
              <w:widowControl/>
              <w:kinsoku/>
              <w:wordWrap/>
              <w:overflowPunct/>
              <w:topLinePunct w:val="0"/>
              <w:autoSpaceDE/>
              <w:autoSpaceDN/>
              <w:bidi w:val="0"/>
              <w:adjustRightInd/>
              <w:snapToGrid/>
              <w:spacing w:line="400" w:lineRule="exact"/>
              <w:jc w:val="both"/>
              <w:rPr>
                <w:rFonts w:hint="eastAsia"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注：1.供应商应在响应文件中提供所投产品由检测机构出具的带有CMA标志的检测报告佐证以上1至13项技术要求，否则报名审核不通过。</w:t>
            </w:r>
          </w:p>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2.成交后采购人有权要求成交的提供检测报告原件进行核查，无法提供或经查证存在虚假应标行为的，没收投标保证金并有权上报景弘集团有限公司列入黑名单。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default" w:ascii="宋体" w:hAnsi="宋体" w:cs="宋体"/>
                <w:b/>
                <w:bCs/>
                <w:color w:val="auto"/>
                <w:sz w:val="24"/>
                <w:szCs w:val="24"/>
                <w:highlight w:val="none"/>
                <w:vertAlign w:val="baseline"/>
                <w:lang w:val="en-US" w:eastAsia="zh-CN"/>
              </w:rPr>
            </w:pPr>
            <w:r>
              <w:rPr>
                <w:rFonts w:hint="eastAsia" w:ascii="宋体" w:hAnsi="宋体" w:cs="宋体"/>
                <w:b/>
                <w:bCs/>
                <w:color w:val="auto"/>
                <w:sz w:val="24"/>
                <w:szCs w:val="24"/>
                <w:highlight w:val="none"/>
                <w:vertAlign w:val="baseline"/>
                <w:lang w:val="en-US" w:eastAsia="zh-CN"/>
              </w:rPr>
              <w:t>本表中的规格尺寸为固定值的（指未标注误差值或范围值），均允许偏离±3%.</w:t>
            </w:r>
          </w:p>
        </w:tc>
      </w:tr>
    </w:tbl>
    <w:p>
      <w:pPr>
        <w:pStyle w:val="6"/>
        <w:spacing w:line="360" w:lineRule="auto"/>
        <w:ind w:firstLine="480" w:firstLineChars="200"/>
        <w:rPr>
          <w:rFonts w:hint="eastAsia" w:ascii="宋体" w:hAnsi="宋体" w:cs="宋体"/>
          <w:color w:val="auto"/>
          <w:sz w:val="24"/>
          <w:szCs w:val="24"/>
          <w:highlight w:val="none"/>
          <w:lang w:val="en-US" w:eastAsia="zh-CN"/>
        </w:rPr>
      </w:pPr>
    </w:p>
    <w:p>
      <w:pP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br w:type="page"/>
      </w:r>
    </w:p>
    <w:p>
      <w:pPr>
        <w:pStyle w:val="6"/>
        <w:spacing w:line="360" w:lineRule="auto"/>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2.尺寸数量清单</w:t>
      </w:r>
    </w:p>
    <w:tbl>
      <w:tblPr>
        <w:tblStyle w:val="18"/>
        <w:tblW w:w="974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67"/>
        <w:gridCol w:w="1484"/>
        <w:gridCol w:w="1532"/>
        <w:gridCol w:w="1429"/>
        <w:gridCol w:w="1360"/>
        <w:gridCol w:w="1093"/>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位置</w:t>
            </w:r>
          </w:p>
        </w:tc>
        <w:tc>
          <w:tcPr>
            <w:tcW w:w="3016" w:type="dxa"/>
            <w:gridSpan w:val="2"/>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轨道</w:t>
            </w:r>
          </w:p>
        </w:tc>
        <w:tc>
          <w:tcPr>
            <w:tcW w:w="54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布料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数量（米）</w:t>
            </w:r>
          </w:p>
        </w:tc>
        <w:tc>
          <w:tcPr>
            <w:tcW w:w="1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宽（米）</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个数</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高（米）</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4.5*23</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四栋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五栋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E7E6E6"/>
            <w:noWrap/>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六栋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4楼</w:t>
            </w:r>
          </w:p>
        </w:tc>
        <w:tc>
          <w:tcPr>
            <w:tcW w:w="14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4.5*25</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D9D9D9"/>
            <w:noWrap/>
            <w:vAlign w:val="center"/>
          </w:tcPr>
          <w:p>
            <w:pPr>
              <w:jc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九区监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4.5*16</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2楼</w:t>
            </w:r>
          </w:p>
        </w:tc>
        <w:tc>
          <w:tcPr>
            <w:tcW w:w="1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4.5*18</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645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74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上述尺寸</w:t>
            </w:r>
            <w:r>
              <w:rPr>
                <w:rFonts w:hint="eastAsia" w:ascii="宋体" w:hAnsi="宋体" w:cs="宋体"/>
                <w:b/>
                <w:bCs/>
                <w:i w:val="0"/>
                <w:iCs w:val="0"/>
                <w:color w:val="000000"/>
                <w:kern w:val="0"/>
                <w:sz w:val="22"/>
                <w:szCs w:val="22"/>
                <w:u w:val="none"/>
                <w:lang w:val="en-US" w:eastAsia="zh-CN" w:bidi="ar"/>
              </w:rPr>
              <w:t>、数量仅供参考，具体以</w:t>
            </w:r>
            <w:r>
              <w:rPr>
                <w:rFonts w:hint="eastAsia" w:ascii="宋体" w:hAnsi="宋体" w:eastAsia="宋体" w:cs="宋体"/>
                <w:b/>
                <w:bCs/>
                <w:i w:val="0"/>
                <w:iCs w:val="0"/>
                <w:color w:val="000000"/>
                <w:kern w:val="0"/>
                <w:sz w:val="22"/>
                <w:szCs w:val="22"/>
                <w:u w:val="none"/>
                <w:lang w:val="en-US" w:eastAsia="zh-CN" w:bidi="ar"/>
              </w:rPr>
              <w:t>实际测量为准</w:t>
            </w:r>
            <w:r>
              <w:rPr>
                <w:rFonts w:hint="eastAsia" w:ascii="宋体" w:hAnsi="宋体" w:cs="宋体"/>
                <w:b/>
                <w:bCs/>
                <w:i w:val="0"/>
                <w:iCs w:val="0"/>
                <w:color w:val="000000"/>
                <w:kern w:val="0"/>
                <w:sz w:val="22"/>
                <w:szCs w:val="22"/>
                <w:u w:val="none"/>
                <w:lang w:val="en-US" w:eastAsia="zh-CN" w:bidi="ar"/>
              </w:rPr>
              <w:t>。</w:t>
            </w:r>
          </w:p>
        </w:tc>
      </w:tr>
    </w:tbl>
    <w:p>
      <w:pPr>
        <w:pStyle w:val="7"/>
        <w:rPr>
          <w:rFonts w:hint="default"/>
          <w:lang w:val="en-US" w:eastAsia="zh-CN"/>
        </w:rPr>
      </w:pPr>
    </w:p>
    <w:p>
      <w:pPr>
        <w:pStyle w:val="6"/>
        <w:spacing w:line="360" w:lineRule="auto"/>
        <w:ind w:firstLine="480" w:firstLineChars="200"/>
        <w:rPr>
          <w:rFonts w:hint="eastAsia" w:ascii="宋体" w:hAnsi="宋体" w:cs="宋体"/>
          <w:color w:val="auto"/>
          <w:sz w:val="24"/>
          <w:szCs w:val="24"/>
          <w:lang w:val="en-US" w:eastAsia="zh-CN"/>
        </w:rPr>
      </w:pP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.质量要求</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.1成交人供应商所提供的货物均由成交人供应商免费送货至采购人指定的交货地点。</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.2成交人供应商应当保证所提供的货物是全新的、未使用过的原装品牌货物，并在各个方面符合参数要求的质量、规格和性能要求。保证货物经过正确安装、合理操作和维护保养，在货物寿命期内能够良好使用。</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.3运输过程中造成的货物损坏、丢失或其它质量问题，其责任和损失由成交人供应商负担。</w:t>
      </w:r>
    </w:p>
    <w:p>
      <w:pPr>
        <w:pStyle w:val="9"/>
        <w:ind w:firstLine="480" w:firstLineChars="200"/>
        <w:rPr>
          <w:b/>
          <w:color w:val="auto"/>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w:t>
      </w:r>
    </w:p>
    <w:p>
      <w:pPr>
        <w:pStyle w:val="9"/>
        <w:ind w:left="723" w:hanging="723" w:hangingChars="300"/>
        <w:rPr>
          <w:rFonts w:ascii="宋体" w:hAnsi="宋体" w:cs="宋体"/>
          <w:b/>
          <w:bCs/>
          <w:color w:val="auto"/>
          <w:kern w:val="0"/>
          <w:sz w:val="24"/>
        </w:rPr>
      </w:pPr>
      <w:r>
        <w:rPr>
          <w:b/>
          <w:color w:val="auto"/>
          <w:sz w:val="24"/>
        </w:rPr>
        <w:t>报价处理。）</w:t>
      </w:r>
    </w:p>
    <w:bookmarkEnd w:id="3"/>
    <w:bookmarkEnd w:id="4"/>
    <w:bookmarkEnd w:id="5"/>
    <w:bookmarkEnd w:id="6"/>
    <w:p>
      <w:pPr>
        <w:widowControl/>
        <w:spacing w:line="360" w:lineRule="auto"/>
        <w:ind w:firstLine="482" w:firstLineChars="200"/>
        <w:jc w:val="left"/>
        <w:rPr>
          <w:rFonts w:ascii="宋体" w:hAnsi="宋体" w:cs="宋体"/>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交付时间：</w:t>
      </w:r>
      <w:r>
        <w:rPr>
          <w:rFonts w:hint="eastAsia" w:ascii="宋体" w:hAnsi="宋体" w:cs="宋体"/>
          <w:bCs/>
          <w:color w:val="auto"/>
          <w:sz w:val="24"/>
          <w:highlight w:val="none"/>
        </w:rPr>
        <w:t>合同签订后30天内交货并安装调试验收合格。</w:t>
      </w:r>
    </w:p>
    <w:p>
      <w:pPr>
        <w:widowControl/>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sz w:val="24"/>
          <w:highlight w:val="none"/>
        </w:rPr>
        <w:t>2.交付地点：</w:t>
      </w:r>
      <w:r>
        <w:rPr>
          <w:rFonts w:hint="eastAsia" w:ascii="宋体" w:hAnsi="宋体" w:cs="宋体"/>
          <w:color w:val="auto"/>
          <w:sz w:val="24"/>
          <w:highlight w:val="none"/>
        </w:rPr>
        <w:t>采购人指定地点</w:t>
      </w:r>
      <w:r>
        <w:rPr>
          <w:rFonts w:hint="eastAsia" w:ascii="宋体" w:hAnsi="宋体" w:cs="宋体"/>
          <w:color w:val="auto"/>
          <w:kern w:val="0"/>
          <w:sz w:val="24"/>
          <w:highlight w:val="none"/>
        </w:rPr>
        <w:t xml:space="preserve">。 </w:t>
      </w:r>
    </w:p>
    <w:p>
      <w:pPr>
        <w:pStyle w:val="14"/>
        <w:spacing w:before="0" w:beforeAutospacing="0" w:after="0" w:afterAutospacing="0" w:line="360" w:lineRule="auto"/>
        <w:ind w:firstLine="482" w:firstLineChars="200"/>
        <w:rPr>
          <w:color w:val="auto"/>
          <w:highlight w:val="none"/>
        </w:rPr>
      </w:pPr>
      <w:r>
        <w:rPr>
          <w:rFonts w:hint="eastAsia"/>
          <w:b/>
          <w:color w:val="auto"/>
          <w:highlight w:val="none"/>
        </w:rPr>
        <w:t>3.交付条件</w:t>
      </w:r>
      <w:r>
        <w:rPr>
          <w:rFonts w:hint="eastAsia"/>
          <w:color w:val="auto"/>
          <w:highlight w:val="none"/>
        </w:rPr>
        <w:t>：</w:t>
      </w:r>
      <w:r>
        <w:rPr>
          <w:rFonts w:hint="eastAsia"/>
          <w:bCs/>
          <w:color w:val="auto"/>
          <w:highlight w:val="none"/>
        </w:rPr>
        <w:t>经验收合格。</w:t>
      </w:r>
    </w:p>
    <w:p>
      <w:pPr>
        <w:pStyle w:val="6"/>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4.是否收取履约保证金：</w:t>
      </w:r>
      <w:r>
        <w:rPr>
          <w:rFonts w:hint="eastAsia" w:ascii="宋体" w:hAnsi="宋体" w:cs="宋体"/>
          <w:color w:val="auto"/>
          <w:sz w:val="24"/>
          <w:szCs w:val="24"/>
          <w:highlight w:val="none"/>
        </w:rPr>
        <w:t>是。履约保证金百分比：</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%。说明：成交供应商在签订合同前，以转账、支票、银行无条件支付保函等非现金方式向采购人缴纳合同总金额</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%履约保证金。履约保证金在履约完网上竞价文件、合同约定的全部义务事项且双方无未了事项的前提下，采购人在收到成交供应商提交的合同、相关缴纳单据及书面申请后30日内无息退还。</w:t>
      </w:r>
    </w:p>
    <w:p>
      <w:pPr>
        <w:pStyle w:val="14"/>
        <w:spacing w:before="0" w:beforeAutospacing="0" w:after="0" w:afterAutospacing="0" w:line="360" w:lineRule="auto"/>
        <w:ind w:firstLine="482" w:firstLineChars="200"/>
        <w:rPr>
          <w:color w:val="auto"/>
          <w:highlight w:val="none"/>
        </w:rPr>
      </w:pPr>
      <w:r>
        <w:rPr>
          <w:rFonts w:hint="eastAsia"/>
          <w:b/>
          <w:bCs/>
          <w:color w:val="auto"/>
          <w:highlight w:val="none"/>
        </w:rPr>
        <w:t>5.付款方式：</w:t>
      </w:r>
      <w:r>
        <w:rPr>
          <w:rFonts w:hint="eastAsia"/>
          <w:b/>
          <w:color w:val="000000" w:themeColor="text1"/>
          <w:highlight w:val="none"/>
          <w14:textFill>
            <w14:solidFill>
              <w14:schemeClr w14:val="tx1"/>
            </w14:solidFill>
          </w14:textFill>
        </w:rPr>
        <w:t>货物按实结算，</w:t>
      </w:r>
      <w:r>
        <w:rPr>
          <w:rFonts w:hint="eastAsia"/>
          <w:color w:val="000000" w:themeColor="text1"/>
          <w:highlight w:val="none"/>
          <w14:textFill>
            <w14:solidFill>
              <w14:schemeClr w14:val="tx1"/>
            </w14:solidFill>
          </w14:textFill>
        </w:rPr>
        <w:t>全部货物交货</w:t>
      </w:r>
      <w:r>
        <w:rPr>
          <w:rStyle w:val="26"/>
          <w:rFonts w:hint="eastAsia"/>
          <w:color w:val="000000" w:themeColor="text1"/>
          <w:sz w:val="24"/>
          <w:highlight w:val="none"/>
          <w14:textFill>
            <w14:solidFill>
              <w14:schemeClr w14:val="tx1"/>
            </w14:solidFill>
          </w14:textFill>
        </w:rPr>
        <w:t>并安装到位</w:t>
      </w:r>
      <w:r>
        <w:rPr>
          <w:rFonts w:hint="eastAsia"/>
          <w:color w:val="auto"/>
          <w:highlight w:val="none"/>
        </w:rPr>
        <w:t>且经验收合格后，</w:t>
      </w:r>
      <w:r>
        <w:rPr>
          <w:rFonts w:hint="eastAsia"/>
          <w:bCs/>
          <w:color w:val="auto"/>
          <w:highlight w:val="none"/>
        </w:rPr>
        <w:t>成交供应商向采购人提供合法有效的等额增值税</w:t>
      </w:r>
      <w:r>
        <w:rPr>
          <w:rFonts w:hint="eastAsia"/>
          <w:bCs/>
          <w:color w:val="auto"/>
          <w:highlight w:val="none"/>
          <w:lang w:eastAsia="zh-CN"/>
        </w:rPr>
        <w:t>专用</w:t>
      </w:r>
      <w:r>
        <w:rPr>
          <w:rFonts w:hint="eastAsia"/>
          <w:bCs/>
          <w:color w:val="auto"/>
          <w:highlight w:val="none"/>
        </w:rPr>
        <w:t>发票及相关材料、采购人在收到发票及相关材料后30日内</w:t>
      </w:r>
      <w:r>
        <w:rPr>
          <w:rFonts w:hint="eastAsia"/>
          <w:bCs/>
          <w:color w:val="auto"/>
          <w:highlight w:val="none"/>
          <w:lang w:eastAsia="zh-CN"/>
        </w:rPr>
        <w:t>一次性</w:t>
      </w:r>
      <w:r>
        <w:rPr>
          <w:rFonts w:hint="eastAsia"/>
          <w:bCs/>
          <w:color w:val="auto"/>
          <w:highlight w:val="none"/>
        </w:rPr>
        <w:t>支付</w:t>
      </w:r>
      <w:r>
        <w:rPr>
          <w:rFonts w:hint="eastAsia"/>
          <w:color w:val="auto"/>
          <w:highlight w:val="none"/>
        </w:rPr>
        <w:t>合同款。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r>
        <w:rPr>
          <w:rFonts w:hint="eastAsia" w:ascii="宋体" w:hAnsi="宋体" w:cs="宋体"/>
          <w:b/>
          <w:bCs/>
          <w:color w:val="auto"/>
          <w:sz w:val="24"/>
          <w:lang w:val="en-US" w:eastAsia="zh-CN"/>
        </w:rPr>
        <w:t>6</w:t>
      </w:r>
      <w:r>
        <w:rPr>
          <w:rFonts w:ascii="宋体" w:hAnsi="宋体" w:cs="宋体"/>
          <w:b/>
          <w:bCs/>
          <w:color w:val="auto"/>
          <w:sz w:val="24"/>
        </w:rPr>
        <w:t>.</w:t>
      </w:r>
      <w:r>
        <w:rPr>
          <w:rFonts w:hint="eastAsia" w:ascii="宋体" w:hAnsi="宋体" w:cs="宋体"/>
          <w:b/>
          <w:bCs/>
          <w:color w:val="auto"/>
          <w:sz w:val="24"/>
        </w:rPr>
        <w:t>货物包装方式</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6</w:t>
      </w:r>
      <w:r>
        <w:rPr>
          <w:rFonts w:ascii="宋体" w:hAnsi="宋体" w:cs="宋体"/>
          <w:color w:val="auto"/>
          <w:sz w:val="24"/>
        </w:rPr>
        <w:t>.1</w:t>
      </w:r>
      <w:r>
        <w:rPr>
          <w:rFonts w:hint="eastAsia" w:ascii="宋体" w:hAnsi="宋体" w:cs="宋体"/>
          <w:color w:val="auto"/>
          <w:sz w:val="24"/>
        </w:rPr>
        <w:t>包装：货物交货时应按国家有关标准要求进行包装。</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6</w:t>
      </w:r>
      <w:r>
        <w:rPr>
          <w:rFonts w:ascii="宋体" w:hAnsi="宋体" w:cs="宋体"/>
          <w:color w:val="auto"/>
          <w:sz w:val="24"/>
        </w:rPr>
        <w:t>.2</w:t>
      </w:r>
      <w:r>
        <w:rPr>
          <w:rFonts w:hint="eastAsia" w:ascii="宋体" w:hAnsi="宋体" w:cs="宋体"/>
          <w:color w:val="auto"/>
          <w:sz w:val="24"/>
        </w:rPr>
        <w:t>方式：包装必须与运输方式相适应，包装方式的确定及包装费用均由成交人负责；由于不适当的包装而造成货物在运输过程中有任何损坏由成交人负责。</w:t>
      </w:r>
    </w:p>
    <w:p>
      <w:pPr>
        <w:spacing w:line="360" w:lineRule="auto"/>
        <w:ind w:firstLine="480" w:firstLineChars="200"/>
        <w:rPr>
          <w:rFonts w:ascii="宋体" w:cs="宋体"/>
          <w:color w:val="auto"/>
          <w:sz w:val="24"/>
        </w:rPr>
      </w:pPr>
      <w:r>
        <w:rPr>
          <w:rFonts w:hint="eastAsia" w:ascii="宋体" w:hAnsi="宋体" w:cs="宋体"/>
          <w:color w:val="auto"/>
          <w:sz w:val="24"/>
        </w:rPr>
        <w:t>注：包装应足以承受整个过程中的运输、转运、装卸、储存等，充分考虑到运输途中的各种情况</w:t>
      </w:r>
      <w:r>
        <w:rPr>
          <w:rFonts w:ascii="宋体" w:hAnsi="宋体" w:cs="宋体"/>
          <w:color w:val="auto"/>
          <w:sz w:val="24"/>
        </w:rPr>
        <w:t>(</w:t>
      </w:r>
      <w:r>
        <w:rPr>
          <w:rFonts w:hint="eastAsia" w:ascii="宋体" w:hAnsi="宋体" w:cs="宋体"/>
          <w:color w:val="auto"/>
          <w:sz w:val="24"/>
        </w:rPr>
        <w:t>如暴露于恶劣气候等</w:t>
      </w:r>
      <w:r>
        <w:rPr>
          <w:rFonts w:ascii="宋体" w:hAnsi="宋体" w:cs="宋体"/>
          <w:color w:val="auto"/>
          <w:sz w:val="24"/>
        </w:rPr>
        <w:t>)</w:t>
      </w:r>
      <w:r>
        <w:rPr>
          <w:rFonts w:hint="eastAsia" w:ascii="宋体" w:hAnsi="宋体" w:cs="宋体"/>
          <w:color w:val="auto"/>
          <w:sz w:val="24"/>
        </w:rPr>
        <w:t>和项目所在地的气候特点，以及露天存放的需要。</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7" w:name="_Toc442349369"/>
      <w:bookmarkStart w:id="8" w:name="_Toc422816009"/>
      <w:bookmarkStart w:id="9" w:name="_Toc83283201"/>
      <w:r>
        <w:rPr>
          <w:rFonts w:hint="eastAsia" w:ascii="宋体" w:hAnsi="宋体" w:cs="宋体"/>
          <w:b/>
          <w:bCs/>
          <w:color w:val="auto"/>
          <w:sz w:val="24"/>
          <w:lang w:val="en-US" w:eastAsia="zh-CN"/>
        </w:rPr>
        <w:t>7</w:t>
      </w:r>
      <w:r>
        <w:rPr>
          <w:rFonts w:ascii="宋体" w:hAnsi="宋体" w:cs="宋体"/>
          <w:b/>
          <w:bCs/>
          <w:color w:val="auto"/>
          <w:sz w:val="24"/>
        </w:rPr>
        <w:t>.</w:t>
      </w:r>
      <w:r>
        <w:rPr>
          <w:rFonts w:hint="eastAsia" w:ascii="宋体" w:hAnsi="宋体" w:cs="宋体"/>
          <w:b/>
          <w:bCs/>
          <w:color w:val="auto"/>
          <w:sz w:val="24"/>
        </w:rPr>
        <w:t>安装、调试</w:t>
      </w:r>
      <w:bookmarkEnd w:id="7"/>
      <w:bookmarkEnd w:id="8"/>
      <w:bookmarkEnd w:id="9"/>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.1</w:t>
      </w:r>
      <w:r>
        <w:rPr>
          <w:rFonts w:hint="eastAsia" w:ascii="宋体" w:hAnsi="宋体" w:cs="宋体"/>
          <w:color w:val="auto"/>
          <w:sz w:val="24"/>
        </w:rPr>
        <w:t>成交人应在签订合同时，向采购人提供安装、调试的进度计划表。</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.2</w:t>
      </w:r>
      <w:r>
        <w:rPr>
          <w:rFonts w:hint="eastAsia" w:ascii="宋体" w:hAnsi="宋体" w:cs="宋体"/>
          <w:color w:val="auto"/>
          <w:sz w:val="24"/>
        </w:rPr>
        <w:t>本项目成交人须按采购人要求在指</w:t>
      </w:r>
      <w:r>
        <w:rPr>
          <w:rFonts w:ascii="宋体" w:hAnsi="宋体" w:cs="宋体"/>
          <w:color w:val="auto"/>
          <w:sz w:val="24"/>
        </w:rPr>
        <w:t xml:space="preserve"> </w:t>
      </w:r>
      <w:r>
        <w:rPr>
          <w:rFonts w:hint="eastAsia" w:ascii="宋体" w:hAnsi="宋体" w:cs="宋体"/>
          <w:color w:val="auto"/>
          <w:sz w:val="24"/>
        </w:rPr>
        <w:t>定位置安装</w:t>
      </w:r>
      <w:r>
        <w:rPr>
          <w:rFonts w:hint="eastAsia" w:ascii="宋体" w:hAnsi="宋体" w:cs="宋体"/>
          <w:color w:val="auto"/>
          <w:sz w:val="24"/>
          <w:highlight w:val="none"/>
          <w:lang w:eastAsia="zh-CN"/>
        </w:rPr>
        <w:t>轨道及窗帘</w:t>
      </w:r>
      <w:r>
        <w:rPr>
          <w:rFonts w:hint="eastAsia" w:ascii="宋体" w:hAnsi="宋体" w:cs="宋体"/>
          <w:color w:val="auto"/>
          <w:sz w:val="24"/>
        </w:rPr>
        <w:t>，安装过程须符合相应安全规章制度和安装规范。</w:t>
      </w:r>
      <w:r>
        <w:rPr>
          <w:rFonts w:hint="eastAsia" w:ascii="宋体" w:hAnsi="宋体" w:cs="宋体"/>
          <w:sz w:val="24"/>
          <w:lang w:eastAsia="zh-CN"/>
        </w:rPr>
        <w:t>安装过程中产生的垃圾，由成交人依照采购人要求清理到采购人指定地点。</w:t>
      </w:r>
      <w:r>
        <w:rPr>
          <w:rFonts w:hint="eastAsia" w:ascii="宋体" w:hAnsi="宋体" w:cs="宋体"/>
          <w:color w:val="auto"/>
          <w:sz w:val="24"/>
        </w:rPr>
        <w:t>安装过程中，成交人对安装现场安全负完全责任（包含监狱和安装方人员、设施的安全），发生的安全事故由成交人承担一切经济赔偿责任和法律责任。</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.3</w:t>
      </w:r>
      <w:r>
        <w:rPr>
          <w:rFonts w:hint="eastAsia" w:ascii="宋体" w:hAnsi="宋体" w:cs="宋体"/>
          <w:color w:val="auto"/>
          <w:sz w:val="24"/>
        </w:rPr>
        <w:t>合同签订后，由成交人负责将合同规定的设备数量送到安装地点，设备通过采购人确认后，由成交人负责安装、调试，其中所涉及的一切费用，包含在报价中。采购人将安排专人配合，并提供安装所需的基本条件，保证各项安装工作顺利进行。</w:t>
      </w:r>
    </w:p>
    <w:p>
      <w:pPr>
        <w:spacing w:line="360" w:lineRule="auto"/>
        <w:ind w:firstLine="480" w:firstLineChars="200"/>
        <w:rPr>
          <w:rFonts w:ascii="宋体" w:cs="宋体"/>
          <w:color w:val="auto"/>
          <w:sz w:val="24"/>
        </w:rPr>
      </w:pPr>
      <w:r>
        <w:rPr>
          <w:rFonts w:hint="eastAsia" w:ascii="宋体" w:hAnsi="宋体" w:cs="宋体"/>
          <w:color w:val="auto"/>
          <w:sz w:val="24"/>
          <w:lang w:val="en-US" w:eastAsia="zh-CN"/>
        </w:rPr>
        <w:t>7</w:t>
      </w:r>
      <w:r>
        <w:rPr>
          <w:rFonts w:ascii="宋体" w:hAnsi="宋体" w:cs="宋体"/>
          <w:color w:val="auto"/>
          <w:sz w:val="24"/>
        </w:rPr>
        <w:t>.4</w:t>
      </w:r>
      <w:r>
        <w:rPr>
          <w:rFonts w:hint="eastAsia" w:ascii="宋体" w:hAnsi="宋体" w:cs="宋体"/>
          <w:color w:val="auto"/>
          <w:sz w:val="24"/>
        </w:rPr>
        <w:t>安装、调试的完工期须按照合同的规定执行。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10" w:name="_Toc83283202"/>
      <w:bookmarkStart w:id="11" w:name="_Toc442349370"/>
      <w:r>
        <w:rPr>
          <w:rFonts w:hint="eastAsia" w:ascii="宋体" w:hAnsi="宋体" w:cs="宋体"/>
          <w:b/>
          <w:bCs/>
          <w:color w:val="auto"/>
          <w:sz w:val="24"/>
          <w:lang w:val="en-US" w:eastAsia="zh-CN"/>
        </w:rPr>
        <w:t>8</w:t>
      </w:r>
      <w:r>
        <w:rPr>
          <w:rFonts w:ascii="宋体" w:hAnsi="宋体" w:cs="宋体"/>
          <w:b/>
          <w:bCs/>
          <w:color w:val="auto"/>
          <w:sz w:val="24"/>
        </w:rPr>
        <w:t>.</w:t>
      </w:r>
      <w:r>
        <w:rPr>
          <w:rFonts w:hint="eastAsia" w:ascii="宋体" w:hAnsi="宋体" w:cs="宋体"/>
          <w:b/>
          <w:bCs/>
          <w:color w:val="auto"/>
          <w:sz w:val="24"/>
        </w:rPr>
        <w:t>检验标准和方法</w:t>
      </w:r>
      <w:bookmarkEnd w:id="10"/>
      <w:bookmarkEnd w:id="11"/>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.1</w:t>
      </w:r>
      <w:r>
        <w:rPr>
          <w:rFonts w:hint="eastAsia" w:ascii="宋体" w:hAnsi="宋体"/>
          <w:bCs/>
          <w:color w:val="auto"/>
          <w:sz w:val="24"/>
        </w:rPr>
        <w:t>供应商将货物配送到采购人指定地点后，由采购人、供应商指定人员共同进行到货验收确认，确认产品、名称、数量、型号及规格正确，包装完好，并在送货单上签收确认。验收过程中发现与货物清单规格不一致的，采购人有权拒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.2</w:t>
      </w:r>
      <w:r>
        <w:rPr>
          <w:rFonts w:hint="eastAsia" w:ascii="宋体" w:hAnsi="宋体"/>
          <w:bCs/>
          <w:color w:val="auto"/>
          <w:sz w:val="24"/>
        </w:rPr>
        <w:t>鉴于货物的验收仅限于货物的外包装、数量、品目等初步外观内容，采购人在实际使用货物过程中发现货物不符合合同约定的质量标准的，在合同免费质量维护期内供应商应无条件予以配合退货、换货或修理。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.3</w:t>
      </w:r>
      <w:r>
        <w:rPr>
          <w:rFonts w:hint="eastAsia" w:ascii="宋体" w:hAnsi="宋体"/>
          <w:bCs/>
          <w:color w:val="auto"/>
          <w:sz w:val="24"/>
        </w:rPr>
        <w:t>供应商应负责安装、调试等，并由双方在验收单上对货物验收情况、安装调试予以记载并签字确认，安装过程中出现的一切安全责任及财产损失或人身损害，均由供应商自行负责。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Cs/>
          <w:color w:val="auto"/>
          <w:sz w:val="24"/>
        </w:rPr>
      </w:pPr>
      <w:r>
        <w:rPr>
          <w:rFonts w:hint="eastAsia" w:ascii="宋体" w:hAnsi="宋体"/>
          <w:bCs/>
          <w:color w:val="auto"/>
          <w:sz w:val="24"/>
          <w:lang w:val="en-US" w:eastAsia="zh-CN"/>
        </w:rPr>
        <w:t>8</w:t>
      </w:r>
      <w:r>
        <w:rPr>
          <w:rFonts w:ascii="宋体" w:hAnsi="宋体"/>
          <w:bCs/>
          <w:color w:val="auto"/>
          <w:sz w:val="24"/>
        </w:rPr>
        <w:t>.4</w:t>
      </w:r>
      <w:r>
        <w:rPr>
          <w:rFonts w:hint="eastAsia" w:ascii="宋体" w:hAnsi="宋体"/>
          <w:bCs/>
          <w:color w:val="auto"/>
          <w:sz w:val="24"/>
        </w:rPr>
        <w:t>验收环节产生的所有费用均由供应商支付，并包含在投标总价中。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12" w:name="_Toc442349371"/>
      <w:bookmarkStart w:id="13" w:name="_Toc346300366"/>
      <w:bookmarkStart w:id="14" w:name="_Toc351968245"/>
      <w:bookmarkStart w:id="15" w:name="_Toc83283203"/>
      <w:bookmarkStart w:id="16" w:name="_Toc422816010"/>
      <w:bookmarkStart w:id="17" w:name="_Toc419485046"/>
      <w:bookmarkStart w:id="18" w:name="_Toc330567033"/>
      <w:bookmarkStart w:id="19" w:name="_Toc347060295"/>
      <w:r>
        <w:rPr>
          <w:rFonts w:hint="eastAsia" w:ascii="宋体" w:hAnsi="宋体" w:cs="宋体"/>
          <w:b/>
          <w:bCs/>
          <w:color w:val="auto"/>
          <w:sz w:val="24"/>
          <w:lang w:val="en-US" w:eastAsia="zh-CN"/>
        </w:rPr>
        <w:t>9</w:t>
      </w:r>
      <w:r>
        <w:rPr>
          <w:rFonts w:ascii="宋体" w:hAnsi="宋体" w:cs="宋体"/>
          <w:b/>
          <w:bCs/>
          <w:color w:val="auto"/>
          <w:sz w:val="24"/>
        </w:rPr>
        <w:t>.</w:t>
      </w:r>
      <w:r>
        <w:rPr>
          <w:rFonts w:hint="eastAsia" w:ascii="宋体" w:hAnsi="宋体" w:cs="宋体"/>
          <w:b/>
          <w:bCs/>
          <w:color w:val="auto"/>
          <w:sz w:val="24"/>
        </w:rPr>
        <w:t>技术培训及技术资料要求</w:t>
      </w:r>
      <w:bookmarkEnd w:id="12"/>
      <w:bookmarkEnd w:id="13"/>
      <w:bookmarkEnd w:id="14"/>
      <w:bookmarkEnd w:id="15"/>
      <w:bookmarkEnd w:id="16"/>
      <w:bookmarkEnd w:id="17"/>
      <w:bookmarkEnd w:id="18"/>
      <w:bookmarkEnd w:id="19"/>
      <w:bookmarkStart w:id="20" w:name="jishu"/>
      <w:bookmarkEnd w:id="20"/>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color w:val="auto"/>
          <w:sz w:val="24"/>
        </w:rPr>
      </w:pPr>
      <w:r>
        <w:rPr>
          <w:rFonts w:hint="eastAsia" w:ascii="宋体" w:hAnsi="宋体" w:cs="宋体"/>
          <w:color w:val="auto"/>
          <w:sz w:val="24"/>
          <w:lang w:val="en-US" w:eastAsia="zh-CN"/>
        </w:rPr>
        <w:t>9</w:t>
      </w:r>
      <w:r>
        <w:rPr>
          <w:rFonts w:ascii="宋体" w:hAnsi="宋体" w:cs="宋体"/>
          <w:color w:val="auto"/>
          <w:sz w:val="24"/>
        </w:rPr>
        <w:t>.1</w:t>
      </w:r>
      <w:r>
        <w:rPr>
          <w:rFonts w:hint="eastAsia" w:ascii="宋体" w:hAnsi="宋体" w:cs="宋体"/>
          <w:color w:val="auto"/>
          <w:sz w:val="24"/>
        </w:rPr>
        <w:t>技术培训：成交人应结合货物安装、调试等阶段，同步对采购人的技术人员就有关安装、维护等方面进行现场培训，使受训人员</w:t>
      </w:r>
      <w:r>
        <w:rPr>
          <w:rFonts w:hint="eastAsia" w:ascii="宋体" w:hAnsi="宋体" w:cs="宋体"/>
          <w:b w:val="0"/>
          <w:bCs w:val="0"/>
          <w:color w:val="auto"/>
          <w:sz w:val="24"/>
        </w:rPr>
        <w:t>能熟练掌握所有的安装和维护方法。</w:t>
      </w:r>
      <w:r>
        <w:rPr>
          <w:rFonts w:hint="eastAsia" w:ascii="宋体" w:hAnsi="宋体"/>
          <w:b w:val="0"/>
          <w:bCs w:val="0"/>
          <w:color w:val="auto"/>
          <w:sz w:val="24"/>
        </w:rPr>
        <w:t>技术培训费用由供应商负责，并包含在投标总价中。</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ascii="宋体" w:cs="宋体"/>
          <w:b/>
          <w:bCs/>
          <w:color w:val="auto"/>
          <w:sz w:val="24"/>
        </w:rPr>
      </w:pPr>
      <w:bookmarkStart w:id="21" w:name="_Toc351968246"/>
      <w:bookmarkStart w:id="22" w:name="_Toc419485048"/>
      <w:bookmarkStart w:id="23" w:name="_Toc442349372"/>
      <w:bookmarkStart w:id="24" w:name="_Toc83283204"/>
      <w:bookmarkStart w:id="25" w:name="_Toc422816011"/>
      <w:r>
        <w:rPr>
          <w:rFonts w:hint="eastAsia" w:ascii="宋体" w:hAnsi="宋体" w:cs="宋体"/>
          <w:b/>
          <w:bCs/>
          <w:color w:val="auto"/>
          <w:sz w:val="24"/>
          <w:lang w:val="en-US" w:eastAsia="zh-CN"/>
        </w:rPr>
        <w:t>10</w:t>
      </w:r>
      <w:r>
        <w:rPr>
          <w:rFonts w:ascii="宋体" w:hAnsi="宋体" w:cs="宋体"/>
          <w:b/>
          <w:bCs/>
          <w:color w:val="auto"/>
          <w:sz w:val="24"/>
        </w:rPr>
        <w:t>.</w:t>
      </w:r>
      <w:r>
        <w:rPr>
          <w:rFonts w:hint="eastAsia" w:ascii="宋体" w:hAnsi="宋体" w:cs="宋体"/>
          <w:b/>
          <w:bCs/>
          <w:color w:val="auto"/>
          <w:sz w:val="24"/>
        </w:rPr>
        <w:t>维护期和售后服务要求</w:t>
      </w:r>
      <w:bookmarkEnd w:id="21"/>
      <w:bookmarkEnd w:id="22"/>
      <w:bookmarkEnd w:id="23"/>
      <w:bookmarkEnd w:id="24"/>
      <w:bookmarkEnd w:id="25"/>
      <w:bookmarkStart w:id="26" w:name="fuwu"/>
      <w:bookmarkEnd w:id="26"/>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.1</w:t>
      </w:r>
      <w:r>
        <w:rPr>
          <w:rFonts w:hint="eastAsia" w:ascii="宋体" w:hAnsi="宋体"/>
          <w:b w:val="0"/>
          <w:bCs/>
          <w:color w:val="auto"/>
          <w:sz w:val="24"/>
        </w:rPr>
        <w:t>供应商须按</w:t>
      </w:r>
      <w:r>
        <w:rPr>
          <w:rFonts w:hint="eastAsia" w:ascii="宋体" w:hAnsi="宋体"/>
          <w:b w:val="0"/>
          <w:bCs/>
          <w:color w:val="auto"/>
          <w:sz w:val="24"/>
          <w:lang w:eastAsia="zh-CN"/>
        </w:rPr>
        <w:t>竞价</w:t>
      </w:r>
      <w:r>
        <w:rPr>
          <w:rFonts w:hint="eastAsia" w:ascii="宋体" w:hAnsi="宋体"/>
          <w:b w:val="0"/>
          <w:bCs/>
          <w:color w:val="auto"/>
          <w:sz w:val="24"/>
        </w:rPr>
        <w:t>文件、响应文件的要求提供合格的产品，并承诺本项目维护期为自验收合格后保修</w:t>
      </w:r>
      <w:r>
        <w:rPr>
          <w:rFonts w:hint="eastAsia" w:ascii="宋体" w:hAnsi="宋体"/>
          <w:b w:val="0"/>
          <w:bCs/>
          <w:color w:val="auto"/>
          <w:sz w:val="24"/>
          <w:lang w:val="en-US" w:eastAsia="zh-CN"/>
        </w:rPr>
        <w:t>24</w:t>
      </w:r>
      <w:r>
        <w:rPr>
          <w:rFonts w:hint="eastAsia" w:ascii="宋体" w:hAnsi="宋体"/>
          <w:b w:val="0"/>
          <w:bCs/>
          <w:color w:val="auto"/>
          <w:sz w:val="24"/>
        </w:rPr>
        <w:t>个月，维护期自验收合格签名之日起计算。维护期内，须按合同条款提供售后和</w:t>
      </w:r>
      <w:r>
        <w:rPr>
          <w:rFonts w:hint="eastAsia" w:ascii="宋体" w:hAnsi="宋体" w:cs="宋体"/>
          <w:b w:val="0"/>
          <w:bCs/>
          <w:color w:val="auto"/>
          <w:sz w:val="24"/>
        </w:rPr>
        <w:t>维护</w:t>
      </w:r>
      <w:r>
        <w:rPr>
          <w:rFonts w:hint="eastAsia" w:ascii="宋体" w:hAnsi="宋体"/>
          <w:b w:val="0"/>
          <w:bCs/>
          <w:color w:val="auto"/>
          <w:sz w:val="24"/>
        </w:rPr>
        <w:t>服务，非因操作不当造成要更换的产品或零配件由供应商负责包修、包换。</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.2</w:t>
      </w:r>
      <w:r>
        <w:rPr>
          <w:rFonts w:hint="eastAsia" w:ascii="宋体" w:hAnsi="宋体"/>
          <w:b w:val="0"/>
          <w:bCs/>
          <w:color w:val="auto"/>
          <w:sz w:val="24"/>
        </w:rPr>
        <w:t>供应商在</w:t>
      </w:r>
      <w:r>
        <w:rPr>
          <w:rFonts w:hint="eastAsia" w:ascii="宋体" w:hAnsi="宋体" w:cs="宋体"/>
          <w:b w:val="0"/>
          <w:bCs/>
          <w:color w:val="auto"/>
          <w:sz w:val="24"/>
        </w:rPr>
        <w:t>维护</w:t>
      </w:r>
      <w:r>
        <w:rPr>
          <w:rFonts w:hint="eastAsia" w:ascii="宋体" w:hAnsi="宋体"/>
          <w:b w:val="0"/>
          <w:bCs/>
          <w:color w:val="auto"/>
          <w:sz w:val="24"/>
        </w:rPr>
        <w:t>期内须提供上门维修服务，发生维修情况时供应商在接到采购人故障通知后</w:t>
      </w:r>
      <w:r>
        <w:rPr>
          <w:rFonts w:ascii="宋体" w:hAnsi="宋体"/>
          <w:b w:val="0"/>
          <w:bCs/>
          <w:color w:val="auto"/>
          <w:sz w:val="24"/>
        </w:rPr>
        <w:t>2</w:t>
      </w:r>
      <w:r>
        <w:rPr>
          <w:rFonts w:hint="eastAsia" w:ascii="宋体" w:hAnsi="宋体"/>
          <w:b w:val="0"/>
          <w:bCs/>
          <w:color w:val="auto"/>
          <w:sz w:val="24"/>
        </w:rPr>
        <w:t>小时内响应，并在</w:t>
      </w:r>
      <w:r>
        <w:rPr>
          <w:rFonts w:ascii="宋体" w:hAnsi="宋体"/>
          <w:b w:val="0"/>
          <w:bCs/>
          <w:color w:val="auto"/>
          <w:sz w:val="24"/>
        </w:rPr>
        <w:t xml:space="preserve">12 </w:t>
      </w:r>
      <w:r>
        <w:rPr>
          <w:rFonts w:hint="eastAsia" w:ascii="宋体" w:hAnsi="宋体"/>
          <w:b w:val="0"/>
          <w:bCs/>
          <w:color w:val="auto"/>
          <w:sz w:val="24"/>
        </w:rPr>
        <w:t>小时内到达现场，负责修理或更换有缺陷的零部件或产品，对造成的损失按合同规定赔偿及负责违约责任。在维护期内出现产品质量问题</w:t>
      </w:r>
      <w:r>
        <w:rPr>
          <w:rFonts w:ascii="宋体" w:hAnsi="宋体"/>
          <w:b w:val="0"/>
          <w:bCs/>
          <w:color w:val="auto"/>
          <w:sz w:val="24"/>
        </w:rPr>
        <w:t>(</w:t>
      </w:r>
      <w:r>
        <w:rPr>
          <w:rFonts w:hint="eastAsia" w:ascii="宋体" w:hAnsi="宋体"/>
          <w:b w:val="0"/>
          <w:bCs/>
          <w:color w:val="auto"/>
          <w:sz w:val="24"/>
        </w:rPr>
        <w:t>同一故障发生二次</w:t>
      </w:r>
      <w:r>
        <w:rPr>
          <w:rFonts w:ascii="宋体" w:hAnsi="宋体"/>
          <w:b w:val="0"/>
          <w:bCs/>
          <w:color w:val="auto"/>
          <w:sz w:val="24"/>
        </w:rPr>
        <w:t>)</w:t>
      </w:r>
      <w:r>
        <w:rPr>
          <w:rFonts w:hint="eastAsia" w:ascii="宋体" w:hAnsi="宋体"/>
          <w:b w:val="0"/>
          <w:bCs/>
          <w:color w:val="auto"/>
          <w:sz w:val="24"/>
        </w:rPr>
        <w:t>，采购人则有权要求更换产品，更换的维护期从更换之日起相应顺延。</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.3</w:t>
      </w:r>
      <w:r>
        <w:rPr>
          <w:rFonts w:hint="eastAsia" w:ascii="宋体" w:hAnsi="宋体"/>
          <w:b w:val="0"/>
          <w:bCs/>
          <w:color w:val="auto"/>
          <w:sz w:val="24"/>
        </w:rPr>
        <w:t>维护期满前</w:t>
      </w:r>
      <w:r>
        <w:rPr>
          <w:rFonts w:ascii="宋体" w:hAnsi="宋体"/>
          <w:b w:val="0"/>
          <w:bCs/>
          <w:color w:val="auto"/>
          <w:sz w:val="24"/>
        </w:rPr>
        <w:t>1</w:t>
      </w:r>
      <w:r>
        <w:rPr>
          <w:rFonts w:hint="eastAsia" w:ascii="宋体" w:hAnsi="宋体"/>
          <w:b w:val="0"/>
          <w:bCs/>
          <w:color w:val="auto"/>
          <w:sz w:val="24"/>
        </w:rPr>
        <w:t>个月内供应商应负责对产品进行一次全面检查，如发现潜在问题，应负责排除，保证产品正常使用。</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.4</w:t>
      </w:r>
      <w:r>
        <w:rPr>
          <w:rFonts w:hint="eastAsia" w:ascii="宋体" w:hAnsi="宋体"/>
          <w:b w:val="0"/>
          <w:bCs/>
          <w:color w:val="auto"/>
          <w:sz w:val="24"/>
        </w:rPr>
        <w:t>维护期结束后，供应商应在产品使用地区指定有维修能力的代理机构对产品在必要时进行定期维护和修理，可合理收取维修成本费。如遇供应商或代理商不再代理该产品，供应商需做好移交手续，原合同和协议一切条款继续有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ascii="宋体" w:cs="宋体"/>
          <w:b w:val="0"/>
          <w:bCs/>
          <w:color w:val="auto"/>
          <w:sz w:val="24"/>
        </w:rPr>
      </w:pPr>
      <w:r>
        <w:rPr>
          <w:rFonts w:hint="eastAsia" w:ascii="宋体" w:hAnsi="宋体"/>
          <w:b w:val="0"/>
          <w:bCs/>
          <w:color w:val="auto"/>
          <w:sz w:val="24"/>
          <w:lang w:val="en-US" w:eastAsia="zh-CN"/>
        </w:rPr>
        <w:t>10</w:t>
      </w:r>
      <w:r>
        <w:rPr>
          <w:rFonts w:ascii="宋体" w:hAnsi="宋体"/>
          <w:b w:val="0"/>
          <w:bCs/>
          <w:color w:val="auto"/>
          <w:sz w:val="24"/>
        </w:rPr>
        <w:t>.5</w:t>
      </w:r>
      <w:r>
        <w:rPr>
          <w:rFonts w:hint="eastAsia" w:ascii="宋体" w:hAnsi="宋体"/>
          <w:b w:val="0"/>
          <w:bCs/>
          <w:color w:val="auto"/>
          <w:sz w:val="24"/>
        </w:rPr>
        <w:t>前述</w:t>
      </w:r>
      <w:r>
        <w:rPr>
          <w:rFonts w:ascii="宋体" w:hAnsi="宋体"/>
          <w:b w:val="0"/>
          <w:bCs/>
          <w:color w:val="auto"/>
          <w:sz w:val="24"/>
        </w:rPr>
        <w:t>1</w:t>
      </w:r>
      <w:ins w:id="0" w:author="退堂鼓鼓手" w:date="2024-06-03T16:44:38Z">
        <w:r>
          <w:rPr>
            <w:rFonts w:hint="eastAsia" w:ascii="宋体" w:hAnsi="宋体"/>
            <w:b w:val="0"/>
            <w:bCs/>
            <w:color w:val="auto"/>
            <w:sz w:val="24"/>
            <w:lang w:val="en-US" w:eastAsia="zh-CN"/>
          </w:rPr>
          <w:t>0</w:t>
        </w:r>
      </w:ins>
      <w:r>
        <w:rPr>
          <w:rFonts w:ascii="宋体" w:hAnsi="宋体"/>
          <w:b w:val="0"/>
          <w:bCs/>
          <w:color w:val="auto"/>
          <w:sz w:val="24"/>
        </w:rPr>
        <w:t>.1</w:t>
      </w:r>
      <w:r>
        <w:rPr>
          <w:rFonts w:hint="eastAsia" w:ascii="宋体" w:hAnsi="宋体"/>
          <w:b w:val="0"/>
          <w:bCs/>
          <w:color w:val="auto"/>
          <w:sz w:val="24"/>
        </w:rPr>
        <w:t>至</w:t>
      </w:r>
      <w:r>
        <w:rPr>
          <w:rFonts w:ascii="宋体" w:hAnsi="宋体"/>
          <w:b w:val="0"/>
          <w:bCs/>
          <w:color w:val="auto"/>
          <w:sz w:val="24"/>
        </w:rPr>
        <w:t>1</w:t>
      </w:r>
      <w:ins w:id="1" w:author="退堂鼓鼓手" w:date="2024-06-03T16:44:42Z">
        <w:r>
          <w:rPr>
            <w:rFonts w:hint="eastAsia" w:ascii="宋体" w:hAnsi="宋体"/>
            <w:b w:val="0"/>
            <w:bCs/>
            <w:color w:val="auto"/>
            <w:sz w:val="24"/>
            <w:lang w:val="en-US" w:eastAsia="zh-CN"/>
          </w:rPr>
          <w:t>0</w:t>
        </w:r>
      </w:ins>
      <w:r>
        <w:rPr>
          <w:rFonts w:ascii="宋体" w:hAnsi="宋体"/>
          <w:b w:val="0"/>
          <w:bCs/>
          <w:color w:val="auto"/>
          <w:sz w:val="24"/>
        </w:rPr>
        <w:t>.3</w:t>
      </w:r>
      <w:r>
        <w:rPr>
          <w:rFonts w:hint="eastAsia" w:ascii="宋体" w:hAnsi="宋体"/>
          <w:b w:val="0"/>
          <w:bCs/>
          <w:color w:val="auto"/>
          <w:sz w:val="24"/>
        </w:rPr>
        <w:t>维护期内产生的所有费用均由供应商负责，并包含在投标总价中。</w:t>
      </w:r>
    </w:p>
    <w:p>
      <w:pPr>
        <w:widowControl/>
        <w:tabs>
          <w:tab w:val="left" w:pos="900"/>
          <w:tab w:val="left" w:pos="1100"/>
        </w:tabs>
        <w:spacing w:line="460" w:lineRule="exact"/>
        <w:ind w:firstLine="482" w:firstLineChars="200"/>
        <w:jc w:val="left"/>
        <w:textAlignment w:val="baseline"/>
        <w:rPr>
          <w:rFonts w:ascii="宋体" w:hAnsi="宋体" w:cs="宋体"/>
          <w:b/>
          <w:bCs/>
          <w:color w:val="auto"/>
          <w:sz w:val="24"/>
        </w:rPr>
      </w:pPr>
      <w:r>
        <w:rPr>
          <w:rFonts w:hint="eastAsia" w:ascii="宋体" w:hAnsi="宋体" w:cs="宋体"/>
          <w:b/>
          <w:bCs/>
          <w:color w:val="auto"/>
          <w:sz w:val="24"/>
          <w:lang w:val="en-US" w:eastAsia="zh-CN"/>
        </w:rPr>
        <w:t>11</w:t>
      </w:r>
      <w:r>
        <w:rPr>
          <w:rFonts w:hint="eastAsia" w:ascii="宋体" w:hAnsi="宋体" w:cs="宋体"/>
          <w:b/>
          <w:bCs/>
          <w:color w:val="auto"/>
          <w:sz w:val="24"/>
        </w:rPr>
        <w:t>.违约责任</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1因成交人供应商原因造成采购供货合同无法按时签订，视为成交人供应商违约，采购人有权没收其履约保证金，如履约保证金不能弥补成交人供应商违约对采购人造成的损失的，成交人供应商还需另行支付相应的赔偿。</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.2签订合同后因成交人供应商任何违约行为导致合同无法正常继续履行或提前终止，采购人有权没收履约保证金。</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.3本项目不允许成交人供应商以任何名义和理由进行转包，如有发现，采购人有权终止合同并没收履约保证金，对采购人造成的损失的，需另行支付相应的赔偿。</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4成交人供应商未在合同规定期限内完成施工并将设备交付采购人使用的，每逾期1日须向采购人支付违约金3000元，不足1日的按1日计算；超过7日（含7日）不能完成的，视为成交人供应商不能供货，采购人有权没收履约保证金并另行采购，由此产生的差价由成交人供应商承担。因疫情、国家政策、不可抗力因素造成的逾期或成交人供应商申请延期并获得采购人批准的除外。</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5成交人供应商必须遵守国家法律及采购人单位保密、安全的相关规章制度，与采购人签订外协人员管理协议承诺书，投标方进入采购人所在监区的车辆、人员必须遵守采购人有关规定，必须无条件接受采购人检查，不得私自离开指定的区域；不得私自会见罪犯，不得携带手机等通讯工具（因施工需要且取得采购人许可除外），不得为罪犯传递信件、手机、毒品、酒类、黄色书刊及图片、刀具、绳索、打火机、有价证券、信用卡、数码产品等一切物品，不得接近无关人员，不得与无关人员聊天，不得四处走动，不得为无关人员捎带、传递任何物品等。违反上述相关规定，视情况予以罚款5000-50000元。若造成严重后果，采购人有权终止合同，并没收履约保证金，若触犯法律移送司法机关处理。</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6因成交人供应商原因发生重大质量事故，除依约承担赔偿责任外，还将按有关质量管理办法规定执行。同时，采购人有权解除合同，履约保证金不予退还，给采购人造成损失的还应当承担赔偿责任，并报相关行政主管部门处罚。</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7成交人供应商在安装或其他作业时发生安全事故的，成交人供应商除承担相应的法律责任外，造成采购方经济损失的，应给予相应的赔偿。同时采购方有权单方面解除合同并没收成交人供应商的履约保证金。未造成安全事故的，成交人供应商应在采购方的限期内进行整改，对造成采购方的损失进行赔偿。</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8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解除合同履约保证金不予退还，给采购人造成的损失，还应承担赔偿责任。</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.9在明确违约责任后，成交人供应商应在接到书面通知起7日内将违约金、赔偿金等转入采购人指定账户，采购人也有权从尚未支付的货款或履约保证金中扣除。</w:t>
      </w:r>
    </w:p>
    <w:p>
      <w:pPr>
        <w:pStyle w:val="6"/>
        <w:spacing w:line="440" w:lineRule="exact"/>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11</w:t>
      </w:r>
      <w:r>
        <w:rPr>
          <w:rFonts w:hint="eastAsia" w:ascii="宋体" w:hAnsi="宋体" w:cs="宋体"/>
          <w:color w:val="auto"/>
          <w:sz w:val="24"/>
          <w:szCs w:val="24"/>
        </w:rPr>
        <w:t>.10成交人供应商提供的货物质量不符合合同(或成交人供应商投标/响应文件) 约定的，成交人供应商应无条件予以配合免费退货换货，因退换货不及时影响采购人工作的，发现一次，成交人供应商应向采购人支付 5000 元违约金，因产品质量问题造成甲方或任何第三方损害的，成交人供应商应承担一切损害赔偿、法律责任，采购人有权单方解除合同，不予退还成交人供应商的履约保证金。违约金可直接从应付货款或质保金中扣除，不足部分成交人供应商还须向甲方缴纳；违约金不足以弥补给甲方造成的损失的，成交人供应商还应承担相应的赔偿责任。</w:t>
      </w:r>
    </w:p>
    <w:p>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9"/>
        <w:rPr>
          <w:rFonts w:ascii="宋体" w:hAnsi="宋体" w:cs="宋体"/>
          <w:b/>
          <w:color w:val="auto"/>
          <w:sz w:val="24"/>
        </w:rPr>
      </w:pPr>
      <w:r>
        <w:rPr>
          <w:rFonts w:hint="eastAsia" w:ascii="宋体" w:hAnsi="宋体" w:cs="宋体"/>
          <w:b/>
          <w:color w:val="auto"/>
          <w:sz w:val="24"/>
          <w:lang w:val="en-US" w:eastAsia="zh-CN"/>
        </w:rPr>
        <w:t>12</w:t>
      </w:r>
      <w:r>
        <w:rPr>
          <w:rFonts w:hint="eastAsia" w:ascii="宋体" w:hAnsi="宋体" w:cs="宋体"/>
          <w:b/>
          <w:color w:val="auto"/>
          <w:sz w:val="24"/>
        </w:rPr>
        <w:t>.安全责任</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12</w:t>
      </w:r>
      <w:r>
        <w:rPr>
          <w:rFonts w:hint="eastAsia" w:ascii="宋体" w:hAnsi="宋体" w:cs="宋体"/>
          <w:color w:val="auto"/>
          <w:sz w:val="24"/>
          <w:szCs w:val="24"/>
        </w:rPr>
        <w:t>.1成交人须签订安全协议书，上岗操作人员必须依照有关规定持证上岗，严禁无证人员操作。</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12</w:t>
      </w:r>
      <w:r>
        <w:rPr>
          <w:rFonts w:hint="eastAsia" w:ascii="宋体" w:hAnsi="宋体" w:cs="宋体"/>
          <w:color w:val="auto"/>
          <w:sz w:val="24"/>
          <w:szCs w:val="24"/>
        </w:rPr>
        <w:t>.2施工现场临时用电线路、用电设施的安装和使用必须符合相关电气安装规范，并按照临时用电施工组织设计进行架设，严禁随意拉线接电。</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12</w:t>
      </w:r>
      <w:r>
        <w:rPr>
          <w:rFonts w:hint="eastAsia" w:ascii="宋体" w:hAnsi="宋体" w:cs="宋体"/>
          <w:color w:val="auto"/>
          <w:sz w:val="24"/>
          <w:szCs w:val="24"/>
        </w:rPr>
        <w:t>.3施工现场应采取专项防护措施，以保证施工现场及其相邻区域人员和设施的安全。</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lang w:val="en-US" w:eastAsia="zh-CN"/>
        </w:rPr>
        <w:t>12</w:t>
      </w:r>
      <w:r>
        <w:rPr>
          <w:rFonts w:hint="eastAsia" w:ascii="宋体" w:hAnsi="宋体" w:cs="宋体"/>
          <w:color w:val="auto"/>
          <w:sz w:val="24"/>
          <w:szCs w:val="24"/>
        </w:rPr>
        <w:t>.4成交人供应商自行负责在施工现场中所发生的人员伤亡和财产损失；成交人供应商应为施工人员投相关人身健康或者工伤保险，以保障施工人员人身安全。</w:t>
      </w:r>
    </w:p>
    <w:p>
      <w:pPr>
        <w:keepNext w:val="0"/>
        <w:keepLines w:val="0"/>
        <w:pageBreakBefore w:val="0"/>
        <w:kinsoku/>
        <w:wordWrap/>
        <w:overflowPunct/>
        <w:topLinePunct w:val="0"/>
        <w:autoSpaceDE/>
        <w:autoSpaceDN/>
        <w:bidi w:val="0"/>
        <w:adjustRightInd/>
        <w:spacing w:line="440" w:lineRule="exact"/>
        <w:ind w:firstLine="482" w:firstLineChars="200"/>
        <w:textAlignment w:val="auto"/>
        <w:outlineLvl w:val="9"/>
        <w:rPr>
          <w:rFonts w:ascii="宋体" w:hAnsi="宋体" w:cs="宋体"/>
          <w:b/>
          <w:color w:val="auto"/>
          <w:sz w:val="24"/>
        </w:rPr>
      </w:pPr>
      <w:r>
        <w:rPr>
          <w:rFonts w:hint="eastAsia" w:ascii="宋体" w:hAnsi="宋体" w:cs="宋体"/>
          <w:b/>
          <w:color w:val="auto"/>
          <w:sz w:val="24"/>
        </w:rPr>
        <w:t>1</w:t>
      </w:r>
      <w:r>
        <w:rPr>
          <w:rFonts w:hint="eastAsia" w:ascii="宋体" w:hAnsi="宋体" w:cs="宋体"/>
          <w:b/>
          <w:color w:val="auto"/>
          <w:sz w:val="24"/>
          <w:lang w:val="en-US" w:eastAsia="zh-CN"/>
        </w:rPr>
        <w:t>3</w:t>
      </w:r>
      <w:r>
        <w:rPr>
          <w:rFonts w:hint="eastAsia" w:ascii="宋体" w:hAnsi="宋体" w:cs="宋体"/>
          <w:b/>
          <w:color w:val="auto"/>
          <w:sz w:val="24"/>
        </w:rPr>
        <w:t>.保密条款</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1成交供应商应当对合同的内容、因履行合同或在合同期间知悉的或收到的采购人的财务、技术、产品信息、民警资料或其他工作上的文件资料、工作内容等予以保密，不得向合同以外的任何第三方披露，签订并严格执行《单位保密承诺书》；成交供应商进入采购人工作区域的工作人员需签订《个人保密承诺书》，严格履行保密义务。</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.2成交供应商违反本条约定泄露采购人的涉密信息的，应承担相应的法律责任，造成采购人损失的，成交供应商应当依法承担赔偿责任。</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rPr>
        <w:t>1</w:t>
      </w:r>
      <w:r>
        <w:rPr>
          <w:rFonts w:hint="eastAsia" w:ascii="宋体" w:hAnsi="宋体" w:cs="宋体"/>
          <w:color w:val="auto"/>
          <w:sz w:val="24"/>
          <w:szCs w:val="24"/>
          <w:lang w:val="en-US" w:eastAsia="zh-CN"/>
        </w:rPr>
        <w:t>3</w:t>
      </w:r>
      <w:r>
        <w:rPr>
          <w:rFonts w:hint="eastAsia" w:ascii="宋体" w:hAnsi="宋体" w:cs="宋体"/>
          <w:color w:val="auto"/>
          <w:sz w:val="24"/>
          <w:szCs w:val="24"/>
        </w:rPr>
        <w:t>.3本条款不因合同届满或解除而失效。</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color w:val="auto"/>
        </w:rPr>
      </w:pPr>
      <w:r>
        <w:rPr>
          <w:rFonts w:hint="eastAsia"/>
          <w:b/>
          <w:color w:val="auto"/>
        </w:rPr>
        <w:t>1</w:t>
      </w:r>
      <w:r>
        <w:rPr>
          <w:rFonts w:hint="eastAsia"/>
          <w:b/>
          <w:color w:val="auto"/>
          <w:lang w:val="en-US" w:eastAsia="zh-CN"/>
        </w:rPr>
        <w:t>4</w:t>
      </w:r>
      <w:r>
        <w:rPr>
          <w:rFonts w:hint="eastAsia"/>
          <w:b/>
          <w:color w:val="auto"/>
        </w:rPr>
        <w:t>.廉政条款</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bCs/>
          <w:color w:val="auto"/>
        </w:rPr>
      </w:pPr>
      <w:r>
        <w:rPr>
          <w:rStyle w:val="21"/>
          <w:rFonts w:hint="eastAsia" w:ascii="宋体" w:hAnsi="宋体" w:cs="宋体"/>
          <w:b/>
          <w:bCs/>
          <w:color w:val="auto"/>
          <w:sz w:val="24"/>
        </w:rPr>
        <w:t>1</w:t>
      </w:r>
      <w:r>
        <w:rPr>
          <w:rStyle w:val="21"/>
          <w:rFonts w:hint="eastAsia" w:cs="宋体"/>
          <w:b/>
          <w:bCs/>
          <w:color w:val="auto"/>
          <w:sz w:val="24"/>
          <w:lang w:val="en-US"/>
        </w:rPr>
        <w:t>5</w:t>
      </w:r>
      <w:r>
        <w:rPr>
          <w:rStyle w:val="21"/>
          <w:rFonts w:hint="eastAsia" w:ascii="宋体" w:hAnsi="宋体" w:cs="宋体"/>
          <w:b/>
          <w:bCs/>
          <w:color w:val="auto"/>
          <w:sz w:val="24"/>
        </w:rPr>
        <w:t>.诉讼相关费用承担</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若因采购人未履行本合同项下义务，成交供应商有权没收保证金。并承担采购人所产生的一切损失（包括但不限于人身财产的损失、律师费、诉讼费、保全费、鉴定费等），均由成交供应商承担赔偿责任。</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bCs/>
          <w:color w:val="auto"/>
          <w:lang w:val="zh-TW"/>
        </w:rPr>
      </w:pPr>
      <w:r>
        <w:rPr>
          <w:rFonts w:hint="eastAsia"/>
          <w:b/>
          <w:bCs/>
          <w:color w:val="auto"/>
        </w:rPr>
        <w:t>1</w:t>
      </w:r>
      <w:r>
        <w:rPr>
          <w:rFonts w:hint="eastAsia"/>
          <w:b/>
          <w:bCs/>
          <w:color w:val="auto"/>
          <w:lang w:val="en-US" w:eastAsia="zh-CN"/>
        </w:rPr>
        <w:t>6</w:t>
      </w:r>
      <w:r>
        <w:rPr>
          <w:rFonts w:hint="eastAsia"/>
          <w:b/>
          <w:bCs/>
          <w:color w:val="auto"/>
        </w:rPr>
        <w:t>.</w:t>
      </w:r>
      <w:r>
        <w:rPr>
          <w:rFonts w:hint="eastAsia"/>
          <w:b/>
          <w:bCs/>
          <w:color w:val="auto"/>
          <w:lang w:val="zh-TW"/>
        </w:rPr>
        <w:t>不可抗力</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6</w:t>
      </w:r>
      <w:r>
        <w:rPr>
          <w:rFonts w:hint="eastAsia" w:ascii="宋体" w:hAnsi="宋体" w:cs="宋体"/>
          <w:color w:val="auto"/>
          <w:sz w:val="24"/>
          <w:szCs w:val="24"/>
          <w:lang w:val="zh-TW"/>
        </w:rPr>
        <w:t>.1 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6</w:t>
      </w:r>
      <w:r>
        <w:rPr>
          <w:rFonts w:hint="eastAsia" w:ascii="宋体" w:hAnsi="宋体" w:cs="宋体"/>
          <w:color w:val="auto"/>
          <w:sz w:val="24"/>
          <w:szCs w:val="24"/>
          <w:lang w:val="zh-TW"/>
        </w:rPr>
        <w:t>.2 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outlineLvl w:val="9"/>
        <w:rPr>
          <w:b/>
          <w:bCs/>
          <w:color w:val="auto"/>
          <w:lang w:val="zh-TW"/>
        </w:rPr>
      </w:pPr>
      <w:r>
        <w:rPr>
          <w:rFonts w:hint="eastAsia"/>
          <w:b/>
          <w:bCs/>
          <w:color w:val="auto"/>
        </w:rPr>
        <w:t>1</w:t>
      </w:r>
      <w:r>
        <w:rPr>
          <w:rFonts w:hint="eastAsia"/>
          <w:b/>
          <w:bCs/>
          <w:color w:val="auto"/>
          <w:lang w:val="en-US" w:eastAsia="zh-CN"/>
        </w:rPr>
        <w:t>7</w:t>
      </w:r>
      <w:r>
        <w:rPr>
          <w:rFonts w:hint="eastAsia"/>
          <w:b/>
          <w:bCs/>
          <w:color w:val="auto"/>
        </w:rPr>
        <w:t>.</w:t>
      </w:r>
      <w:r>
        <w:rPr>
          <w:rFonts w:hint="eastAsia"/>
          <w:b/>
          <w:bCs/>
          <w:color w:val="auto"/>
          <w:lang w:val="zh-TW"/>
        </w:rPr>
        <w:t>合同纠纷处理方式</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7</w:t>
      </w:r>
      <w:r>
        <w:rPr>
          <w:rFonts w:hint="eastAsia" w:ascii="宋体" w:hAnsi="宋体" w:cs="宋体"/>
          <w:color w:val="auto"/>
          <w:sz w:val="24"/>
          <w:szCs w:val="24"/>
          <w:lang w:val="zh-TW"/>
        </w:rPr>
        <w:t>.1 合同争议处理方式</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甲乙双方必须认真履行合同条款。因本合同或与本合同有关的一切事项发生争议，由双方友好协商解决，协商不成的，任何一方均可向采购人所在地人民法院提起诉讼。</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1</w:t>
      </w:r>
      <w:r>
        <w:rPr>
          <w:rFonts w:hint="eastAsia" w:ascii="宋体" w:hAnsi="宋体" w:cs="宋体"/>
          <w:color w:val="auto"/>
          <w:sz w:val="24"/>
          <w:szCs w:val="24"/>
          <w:lang w:val="en-US" w:eastAsia="zh-CN"/>
        </w:rPr>
        <w:t>7</w:t>
      </w:r>
      <w:r>
        <w:rPr>
          <w:rFonts w:hint="eastAsia" w:ascii="宋体" w:hAnsi="宋体" w:cs="宋体"/>
          <w:color w:val="auto"/>
          <w:sz w:val="24"/>
          <w:szCs w:val="24"/>
          <w:lang w:val="zh-TW"/>
        </w:rPr>
        <w:t>.2 合同补充和修改</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ascii="宋体" w:hAnsi="宋体" w:cs="宋体"/>
          <w:color w:val="auto"/>
          <w:sz w:val="24"/>
          <w:szCs w:val="24"/>
          <w:lang w:val="zh-TW"/>
        </w:rPr>
      </w:pPr>
      <w:r>
        <w:rPr>
          <w:rFonts w:hint="eastAsia" w:ascii="宋体" w:hAnsi="宋体" w:cs="宋体"/>
          <w:color w:val="auto"/>
          <w:sz w:val="24"/>
          <w:szCs w:val="24"/>
          <w:lang w:val="zh-TW"/>
        </w:rPr>
        <w:t>本合同生效后，双方对合同内容的变更或补充应采取书面形式，并经双方签字并盖章确认。</w:t>
      </w:r>
    </w:p>
    <w:p>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outlineLvl w:val="9"/>
        <w:rPr>
          <w:rFonts w:ascii="宋体" w:hAnsi="宋体" w:cs="宋体"/>
          <w:b/>
          <w:bCs/>
          <w:color w:val="auto"/>
          <w:sz w:val="24"/>
          <w:u w:val="single"/>
        </w:rPr>
      </w:pPr>
      <w:r>
        <w:rPr>
          <w:rFonts w:hint="eastAsia" w:ascii="宋体" w:hAnsi="宋体" w:cs="宋体"/>
          <w:b/>
          <w:bCs/>
          <w:color w:val="auto"/>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spacing w:line="440" w:lineRule="exact"/>
        <w:jc w:val="center"/>
        <w:rPr>
          <w:rFonts w:ascii="宋体" w:hAnsi="宋体"/>
          <w:b/>
          <w:bCs/>
          <w:color w:val="FF0000"/>
          <w:sz w:val="36"/>
          <w:szCs w:val="36"/>
        </w:rPr>
      </w:pPr>
    </w:p>
    <w:p>
      <w:pPr>
        <w:widowControl/>
        <w:jc w:val="center"/>
        <w:rPr>
          <w:rFonts w:hint="eastAsia" w:ascii="宋体" w:hAnsi="宋体"/>
          <w:b/>
          <w:bCs/>
          <w:color w:val="FF0000"/>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rPr>
          <w:rFonts w:hint="eastAsia" w:ascii="宋体" w:hAnsi="宋体"/>
          <w:b/>
          <w:bCs/>
          <w:sz w:val="36"/>
          <w:szCs w:val="36"/>
        </w:rPr>
      </w:pPr>
      <w:r>
        <w:rPr>
          <w:rFonts w:hint="eastAsia" w:ascii="宋体" w:hAnsi="宋体"/>
          <w:b/>
          <w:bCs/>
          <w:sz w:val="36"/>
          <w:szCs w:val="36"/>
        </w:rPr>
        <w:br w:type="page"/>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b/>
          <w:bCs/>
          <w:sz w:val="36"/>
          <w:szCs w:val="36"/>
        </w:rPr>
      </w:pPr>
      <w:r>
        <w:rPr>
          <w:rFonts w:hint="eastAsia" w:ascii="宋体" w:hAnsi="宋体"/>
          <w:b/>
          <w:bCs/>
          <w:sz w:val="36"/>
          <w:szCs w:val="36"/>
        </w:rPr>
        <w:t>第四章 合同参考文本</w:t>
      </w:r>
    </w:p>
    <w:p>
      <w:pPr>
        <w:pStyle w:val="16"/>
        <w:ind w:firstLine="0" w:firstLineChars="0"/>
      </w:pPr>
    </w:p>
    <w:p>
      <w:pPr>
        <w:pStyle w:val="17"/>
      </w:pPr>
    </w:p>
    <w:p>
      <w:pPr>
        <w:pStyle w:val="14"/>
        <w:spacing w:before="75" w:beforeAutospacing="0" w:after="75" w:afterAutospacing="0" w:line="360" w:lineRule="auto"/>
      </w:pPr>
      <w:r>
        <w:rPr>
          <w:rFonts w:hint="eastAsia"/>
          <w:b/>
        </w:rPr>
        <w:t>1、签订合同应遵守民法典。</w:t>
      </w:r>
    </w:p>
    <w:p>
      <w:pPr>
        <w:pStyle w:val="14"/>
        <w:spacing w:before="75" w:beforeAutospacing="0" w:after="75" w:afterAutospacing="0" w:line="360" w:lineRule="auto"/>
      </w:pPr>
      <w:r>
        <w:rPr>
          <w:rFonts w:hint="eastAsia"/>
          <w:b/>
        </w:rPr>
        <w:t>2、签订合同时，采购人与成交供应商应结合竞价文件规定和响应文件高于</w:t>
      </w:r>
      <w:r>
        <w:rPr>
          <w:rFonts w:hint="eastAsia"/>
          <w:b/>
          <w:lang w:eastAsia="zh-CN"/>
        </w:rPr>
        <w:t>竞价</w:t>
      </w:r>
      <w:r>
        <w:rPr>
          <w:rFonts w:hint="eastAsia"/>
          <w:b/>
        </w:rPr>
        <w:t>文件的承诺填列相应内容。竞价文件第三章已有规定的，双方均不得变更或调整；竞价文件第三章未作规定的，双方可通过友好协商进行约定。</w:t>
      </w:r>
    </w:p>
    <w:p>
      <w:pPr>
        <w:pStyle w:val="14"/>
        <w:spacing w:before="75" w:beforeAutospacing="0" w:after="75" w:afterAutospacing="0" w:line="360" w:lineRule="auto"/>
        <w:rPr>
          <w:b/>
        </w:rPr>
      </w:pPr>
      <w:r>
        <w:rPr>
          <w:rFonts w:hint="eastAsia"/>
          <w:b/>
        </w:rPr>
        <w:t>3、国家有关部门对若干合同有规范文本的，可使用相应合同文本。</w:t>
      </w:r>
    </w:p>
    <w:p>
      <w:pPr>
        <w:pStyle w:val="24"/>
        <w:pageBreakBefore w:val="0"/>
        <w:kinsoku/>
        <w:overflowPunct/>
        <w:topLinePunct w:val="0"/>
        <w:autoSpaceDE/>
        <w:autoSpaceDN/>
        <w:bidi w:val="0"/>
        <w:adjustRightInd/>
        <w:snapToGrid/>
        <w:spacing w:line="360" w:lineRule="auto"/>
        <w:textAlignment w:val="auto"/>
        <w:outlineLvl w:val="9"/>
        <w:rPr>
          <w:rFonts w:ascii="宋体" w:hAnsi="宋体" w:eastAsia="宋体"/>
        </w:rPr>
      </w:pPr>
      <w:r>
        <w:rPr>
          <w:rFonts w:hint="eastAsia" w:ascii="宋体" w:hAnsi="宋体" w:eastAsia="宋体"/>
          <w:b/>
        </w:rPr>
        <w:t>4、采购人对合同格式有要求，可使用相应合同格式。</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甲方：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乙方：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根据项目编号为________ 的 ___________项目（以下简称：“本项目”）的采购结果，遵循平等、自愿、公平和诚实信用的原则，双方签署本合同，具体内容如下：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一、合同组成部分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1.1本合同条款及附件；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1.2采购文件及其附件、补充文件；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1.3乙方的响应文件及其附件、补充文件；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1.4其他文件或材料：</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二、合同标的</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三、合同金额</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3.1合同总价：人民币（大写）_________ 元（￥_________元）；</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3.2合同总价组成：___________；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3.3其他需说明事项：___________；</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四、合同标的交付</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4.1交付时间：___________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4.2交付地点：___________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4.3交付条件：___________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4.4供货要求：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（4）其他供货要求：</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五、质量标准及要求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5.1质量标准及要求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（2）其他质量要求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5.2节能环保产品要求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5.3质量保证范围、质量保证期及售后服务</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（1）质量保证范围：___________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（2）本合同乙方所供应的货物质量保证期自验收合格之日起{_______月。</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（3）售后服务应按法律法规和采购文件约定执行，具体如下：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5.4商品安全责任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商品安全责任应按照法律法规和采购文件的规定执行，具体如下：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六、安装调试、验收及退、换货</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6.1安装调试、验收应按照采购文件、乙方响应文件的规定或约定进行，具体如下：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6.2本项目是否邀请其他投标人参与验收：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6.3本项目是否邀请专家参与验收：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6.4本项目是否邀请国家认可的质量检测机构参与验收：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6.5履约验收：___________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6.6退、换货：___________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6.7其他：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七、资金支付方式、条件和时间</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八、履约保证金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□有，□无。具体如下违约：（按照采购文件规定填写）。</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8.1乙方向甲方缴纳人民币 元（大写： ）作为本合同的履约保证金。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8.2履约保证金缴纳形式：支票/汇票/电汇/保函等非现金形式。</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8.3履约保证金退还： （根据实际情况填写） 。</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九、合同期限</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10.1甲方违约责任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（1）甲方无正当理由拒收乙方交付的合格产品的，甲方向乙方偿付拒收货款总值_____的违约金；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（2）甲方无故逾期验收和办理合同款项支付手续的,甲方应按逾期付款总额每日_______向乙方支付违约金。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（3）其他违约情形_______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10.2乙方违约责任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（3）乙方不按合同约定履约的，甲方可以解除采购合同，并对乙方已缴纳的履约保证金作“不予退还”处理。同时，乙方还须按向甲方支付违约金：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（4）其他违约情形</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十一、不可抗力事件处理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十二、保密条款</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12.1对于在采购和合同履行过程中所获悉的属于保密的内容，甲、乙双方均负有保密义务。</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12.2其他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十三、解决争议的方法</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13.1甲、乙双方协商解决。</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13.2若协商解决不成，双方明确按以下第__方式解决：</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1、提交仲裁委员会仲裁，具体如下：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2、向人民法院提起诉讼，具体如下：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十四、合同其他条款</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十五、其他约定</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15.1合同文件与本合同具有同等法律效力。</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15.2合同生效：合同经双方法定代表人或委托代理人签字并加盖单位公章后生效。</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15.3本合同未尽事宜，遵照《中华人民共和国民法典》有关条文执行。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15.4本合同正本一式_______份，具有同等法律效力，甲方、乙方各执_______份；副本_______份，_______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15.5其他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十六、合同附件</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甲方（采购人）：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乙方（中标或成交供应商）：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签订地点：__________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签订日期：___年___月___日</w:t>
      </w:r>
    </w:p>
    <w:p>
      <w:pPr>
        <w:pStyle w:val="17"/>
        <w:rPr>
          <w:sz w:val="24"/>
        </w:rPr>
      </w:pPr>
    </w:p>
    <w:p>
      <w:pPr>
        <w:pStyle w:val="17"/>
        <w:ind w:left="0" w:leftChars="0" w:firstLine="0"/>
      </w:pPr>
    </w:p>
    <w:p>
      <w:pPr>
        <w:widowControl/>
        <w:spacing w:line="400" w:lineRule="exact"/>
        <w:jc w:val="center"/>
        <w:rPr>
          <w:rFonts w:ascii="宋体" w:hAnsi="宋体"/>
          <w:b/>
          <w:bCs/>
          <w:sz w:val="36"/>
          <w:szCs w:val="36"/>
        </w:rPr>
      </w:pPr>
    </w:p>
    <w:p>
      <w:pPr>
        <w:rPr>
          <w:rFonts w:hint="eastAsia" w:ascii="宋体" w:hAnsi="宋体"/>
          <w:b/>
          <w:bCs/>
          <w:sz w:val="36"/>
          <w:szCs w:val="36"/>
        </w:rPr>
      </w:pPr>
      <w:r>
        <w:rPr>
          <w:rFonts w:hint="eastAsia" w:ascii="宋体" w:hAnsi="宋体"/>
          <w:b/>
          <w:bCs/>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ascii="宋体" w:hAnsi="宋体"/>
          <w:b/>
          <w:bCs/>
          <w:sz w:val="36"/>
          <w:szCs w:val="36"/>
        </w:rPr>
      </w:pPr>
      <w:r>
        <w:rPr>
          <w:rFonts w:hint="eastAsia" w:ascii="宋体" w:hAnsi="宋体"/>
          <w:b/>
          <w:bCs/>
          <w:sz w:val="36"/>
          <w:szCs w:val="36"/>
        </w:rPr>
        <w:t>第五章 响应文件格式</w:t>
      </w:r>
    </w:p>
    <w:p>
      <w:pPr>
        <w:pStyle w:val="8"/>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r>
        <w:br w:type="page"/>
      </w:r>
    </w:p>
    <w:p/>
    <w:p>
      <w:pPr>
        <w:pStyle w:val="16"/>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
    <w:p>
      <w:pPr>
        <w:pStyle w:val="16"/>
        <w:ind w:firstLine="210"/>
      </w:pPr>
    </w:p>
    <w:p>
      <w:pPr>
        <w:pStyle w:val="17"/>
      </w:pPr>
    </w:p>
    <w:p>
      <w:pPr>
        <w:rPr>
          <w:rFonts w:hint="eastAsia" w:hAnsi="宋体" w:cs="宋体"/>
          <w:b/>
          <w:sz w:val="36"/>
        </w:rPr>
      </w:pPr>
      <w:r>
        <w:rPr>
          <w:rFonts w:hint="eastAsia" w:hAnsi="宋体" w:cs="宋体"/>
          <w:b/>
          <w:sz w:val="36"/>
        </w:rPr>
        <w:br w:type="page"/>
      </w:r>
    </w:p>
    <w:p>
      <w:pPr>
        <w:pStyle w:val="25"/>
        <w:spacing w:after="120" w:line="500" w:lineRule="exact"/>
        <w:jc w:val="center"/>
        <w:outlineLvl w:val="9"/>
        <w:rPr>
          <w:rFonts w:hAnsi="宋体" w:cs="宋体"/>
          <w:b/>
          <w:sz w:val="36"/>
        </w:rPr>
      </w:pPr>
      <w:r>
        <w:rPr>
          <w:rFonts w:hint="eastAsia" w:hAnsi="宋体" w:cs="宋体"/>
          <w:b/>
          <w:sz w:val="36"/>
        </w:rPr>
        <w:t>目  录</w:t>
      </w:r>
    </w:p>
    <w:p>
      <w:pPr>
        <w:pStyle w:val="25"/>
        <w:spacing w:after="120" w:line="500" w:lineRule="exact"/>
        <w:outlineLvl w:val="9"/>
        <w:rPr>
          <w:rFonts w:hAnsi="宋体" w:cs="宋体"/>
          <w:b/>
          <w:sz w:val="36"/>
        </w:rPr>
      </w:pP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1、网上竞价承诺书</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cs="宋体"/>
          <w:bCs/>
          <w:sz w:val="24"/>
        </w:rPr>
        <w:t>3、</w:t>
      </w:r>
      <w:r>
        <w:rPr>
          <w:rFonts w:hint="eastAsia" w:hAnsi="宋体"/>
          <w:sz w:val="24"/>
        </w:rPr>
        <w:t>单位授权书</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sz w:val="24"/>
        </w:rPr>
        <w:t>4、网上竞价文件要求的其他资格和技术商务材料</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723" w:firstLine="3092" w:firstLineChars="1100"/>
        <w:textAlignment w:val="auto"/>
        <w:outlineLvl w:val="9"/>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outlineLvl w:val="9"/>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9"/>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pPr>
        <w:pStyle w:val="25"/>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5"/>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rPr>
        <w:t>供应商代表无转委权。特此授权。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outlineLvl w:val="9"/>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rPr>
        <w:t>供应商：</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rPr>
        <w:t>供应商代表签字：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附：单位负责人、供应商代表的身份证正反面复印件</w:t>
      </w:r>
    </w:p>
    <w:tbl>
      <w:tblPr>
        <w:tblStyle w:val="18"/>
        <w:tblW w:w="0" w:type="auto"/>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1"/>
                <w:rFonts w:hint="eastAsia"/>
              </w:rPr>
              <w:t> </w:t>
            </w:r>
          </w:p>
          <w:p>
            <w:pPr>
              <w:pStyle w:val="14"/>
              <w:spacing w:before="0" w:beforeAutospacing="0" w:after="0" w:afterAutospacing="0" w:line="420" w:lineRule="exact"/>
              <w:jc w:val="center"/>
            </w:pPr>
            <w:r>
              <w:rPr>
                <w:rStyle w:val="21"/>
                <w:rFonts w:hint="eastAsia"/>
              </w:rPr>
              <w:t>要求：真实有效且内容完整、清晰、整洁。</w:t>
            </w:r>
          </w:p>
          <w:p>
            <w:pPr>
              <w:pStyle w:val="14"/>
              <w:spacing w:before="0" w:beforeAutospacing="0" w:after="0" w:afterAutospacing="0" w:line="420" w:lineRule="exact"/>
              <w:jc w:val="center"/>
            </w:pPr>
            <w:r>
              <w:rPr>
                <w:rStyle w:val="21"/>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4.特定资格要求（若有）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按网上竞价文件第一章要求提供</w:t>
      </w:r>
    </w:p>
    <w:p>
      <w:pPr>
        <w:rPr>
          <w:rFonts w:hint="eastAsia" w:ascii="宋体" w:hAnsi="宋体"/>
          <w:b/>
          <w:sz w:val="28"/>
          <w:szCs w:val="28"/>
        </w:rPr>
      </w:pPr>
      <w:r>
        <w:rPr>
          <w:rFonts w:hint="eastAsia" w:ascii="宋体" w:hAnsi="宋体"/>
          <w:b/>
          <w:sz w:val="28"/>
          <w:szCs w:val="28"/>
        </w:rPr>
        <w:br w:type="page"/>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ascii="楷体_GB2312" w:eastAsia="楷体_GB2312"/>
          <w:b/>
          <w:sz w:val="40"/>
          <w:szCs w:val="40"/>
        </w:rPr>
      </w:pPr>
      <w:r>
        <w:rPr>
          <w:rFonts w:hint="eastAsia" w:ascii="宋体" w:hAnsi="宋体"/>
          <w:b/>
          <w:sz w:val="28"/>
          <w:szCs w:val="28"/>
        </w:rPr>
        <w:t>5.供应商需提供的其他材料</w:t>
      </w:r>
    </w:p>
    <w:p>
      <w:pPr>
        <w:pStyle w:val="30"/>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0"/>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9"/>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8"/>
        <w:tblW w:w="4992"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3"/>
        <w:gridCol w:w="1079"/>
        <w:gridCol w:w="2426"/>
        <w:gridCol w:w="1268"/>
        <w:gridCol w:w="1162"/>
        <w:gridCol w:w="1434"/>
        <w:gridCol w:w="14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vAlign w:val="center"/>
          </w:tcPr>
          <w:p>
            <w:pPr>
              <w:pStyle w:val="30"/>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548" w:type="pct"/>
            <w:vAlign w:val="center"/>
          </w:tcPr>
          <w:p>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1232" w:type="pct"/>
            <w:vAlign w:val="center"/>
          </w:tcPr>
          <w:p>
            <w:pPr>
              <w:pStyle w:val="30"/>
              <w:spacing w:line="360" w:lineRule="auto"/>
              <w:jc w:val="center"/>
              <w:rPr>
                <w:rFonts w:hint="default" w:ascii="宋体" w:hAnsi="宋体" w:cs="宋体"/>
                <w:sz w:val="24"/>
                <w:szCs w:val="24"/>
                <w:lang w:eastAsia="zh-CN"/>
              </w:rPr>
            </w:pPr>
            <w:r>
              <w:rPr>
                <w:rFonts w:ascii="宋体" w:hAnsi="宋体" w:cs="宋体"/>
                <w:sz w:val="24"/>
                <w:szCs w:val="24"/>
                <w:lang w:eastAsia="zh-CN"/>
              </w:rPr>
              <w:t>货物名称</w:t>
            </w:r>
          </w:p>
        </w:tc>
        <w:tc>
          <w:tcPr>
            <w:tcW w:w="644" w:type="pct"/>
            <w:vAlign w:val="center"/>
          </w:tcPr>
          <w:p>
            <w:pPr>
              <w:spacing w:line="360" w:lineRule="auto"/>
              <w:jc w:val="center"/>
              <w:rPr>
                <w:rFonts w:hint="default" w:ascii="宋体" w:hAnsi="宋体" w:cs="宋体"/>
                <w:sz w:val="24"/>
                <w:szCs w:val="24"/>
              </w:rPr>
            </w:pPr>
            <w:r>
              <w:rPr>
                <w:rFonts w:hint="eastAsia" w:ascii="宋体" w:hAnsi="宋体"/>
                <w:b/>
                <w:bCs/>
                <w:color w:val="auto"/>
                <w:kern w:val="0"/>
                <w:sz w:val="24"/>
                <w:szCs w:val="22"/>
                <w:lang w:eastAsia="zh-CN"/>
              </w:rPr>
              <w:t>预估</w:t>
            </w:r>
            <w:r>
              <w:rPr>
                <w:rFonts w:hint="eastAsia" w:ascii="宋体" w:hAnsi="宋体"/>
                <w:b/>
                <w:bCs/>
                <w:color w:val="auto"/>
                <w:kern w:val="0"/>
                <w:sz w:val="24"/>
                <w:szCs w:val="22"/>
              </w:rPr>
              <w:t>数量</w:t>
            </w:r>
          </w:p>
        </w:tc>
        <w:tc>
          <w:tcPr>
            <w:tcW w:w="590" w:type="pct"/>
            <w:vAlign w:val="center"/>
          </w:tcPr>
          <w:p>
            <w:pPr>
              <w:pStyle w:val="3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品牌</w:t>
            </w:r>
          </w:p>
        </w:tc>
        <w:tc>
          <w:tcPr>
            <w:tcW w:w="728" w:type="pct"/>
            <w:vAlign w:val="center"/>
          </w:tcPr>
          <w:p>
            <w:pPr>
              <w:pStyle w:val="30"/>
              <w:spacing w:line="360" w:lineRule="auto"/>
              <w:jc w:val="center"/>
              <w:rPr>
                <w:rFonts w:hint="eastAsia" w:ascii="宋体" w:hAnsi="宋体" w:eastAsia="宋体" w:cs="宋体"/>
                <w:sz w:val="24"/>
                <w:szCs w:val="24"/>
                <w:lang w:eastAsia="zh-CN"/>
              </w:rPr>
            </w:pPr>
            <w:r>
              <w:rPr>
                <w:rFonts w:hint="eastAsia" w:ascii="宋体" w:hAnsi="宋体" w:cs="宋体"/>
                <w:sz w:val="24"/>
                <w:szCs w:val="24"/>
                <w:lang w:eastAsia="zh-CN"/>
              </w:rPr>
              <w:t>型号（若有）</w:t>
            </w:r>
          </w:p>
        </w:tc>
        <w:tc>
          <w:tcPr>
            <w:tcW w:w="729" w:type="pct"/>
            <w:vAlign w:val="center"/>
          </w:tcPr>
          <w:p>
            <w:pPr>
              <w:pStyle w:val="30"/>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5" w:type="pct"/>
            <w:vMerge w:val="restart"/>
            <w:vAlign w:val="center"/>
          </w:tcPr>
          <w:p>
            <w:pPr>
              <w:pStyle w:val="30"/>
              <w:spacing w:line="360" w:lineRule="auto"/>
              <w:jc w:val="center"/>
              <w:rPr>
                <w:rFonts w:hint="default" w:ascii="宋体" w:hAnsi="宋体" w:cs="宋体"/>
                <w:sz w:val="24"/>
                <w:szCs w:val="24"/>
              </w:rPr>
            </w:pPr>
            <w:r>
              <w:rPr>
                <w:rFonts w:hint="eastAsia" w:ascii="宋体" w:hAnsi="宋体" w:cs="宋体"/>
                <w:sz w:val="24"/>
                <w:szCs w:val="24"/>
                <w:lang w:val="en-US" w:eastAsia="zh-CN"/>
              </w:rPr>
              <w:t>1</w:t>
            </w:r>
          </w:p>
        </w:tc>
        <w:tc>
          <w:tcPr>
            <w:tcW w:w="548" w:type="pct"/>
            <w:vMerge w:val="restart"/>
            <w:vAlign w:val="center"/>
          </w:tcPr>
          <w:p>
            <w:pPr>
              <w:pStyle w:val="3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1-1</w:t>
            </w:r>
          </w:p>
        </w:tc>
        <w:tc>
          <w:tcPr>
            <w:tcW w:w="123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4"/>
              </w:rPr>
            </w:pPr>
            <w:r>
              <w:rPr>
                <w:rFonts w:hint="eastAsia" w:ascii="宋体" w:hAnsi="宋体" w:cs="宋体"/>
                <w:b w:val="0"/>
                <w:bCs w:val="0"/>
                <w:color w:val="auto"/>
                <w:sz w:val="24"/>
                <w:szCs w:val="24"/>
                <w:highlight w:val="none"/>
                <w:vertAlign w:val="baseline"/>
                <w:lang w:val="en-US" w:eastAsia="zh-CN"/>
              </w:rPr>
              <w:t>轨道</w:t>
            </w:r>
          </w:p>
        </w:tc>
        <w:tc>
          <w:tcPr>
            <w:tcW w:w="644" w:type="pct"/>
            <w:vMerge w:val="restart"/>
            <w:vAlign w:val="center"/>
          </w:tcPr>
          <w:p>
            <w:pPr>
              <w:widowControl/>
              <w:spacing w:line="360" w:lineRule="auto"/>
              <w:ind w:left="0" w:leftChars="0" w:firstLine="0" w:firstLineChars="0"/>
              <w:jc w:val="center"/>
              <w:textAlignment w:val="center"/>
              <w:rPr>
                <w:rFonts w:hint="default"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2000米</w:t>
            </w:r>
          </w:p>
          <w:p>
            <w:pPr>
              <w:widowControl/>
              <w:spacing w:line="360" w:lineRule="auto"/>
              <w:jc w:val="center"/>
              <w:textAlignment w:val="center"/>
              <w:rPr>
                <w:rFonts w:hint="eastAsia" w:ascii="宋体" w:hAnsi="宋体" w:eastAsia="宋体" w:cs="宋体"/>
                <w:sz w:val="24"/>
                <w:lang w:val="en-US" w:eastAsia="zh-CN"/>
              </w:rPr>
            </w:pPr>
            <w:r>
              <w:rPr>
                <w:rFonts w:hint="eastAsia" w:ascii="宋体" w:hAnsi="宋体" w:cs="宋体"/>
                <w:color w:val="000000" w:themeColor="text1"/>
                <w:kern w:val="0"/>
                <w:sz w:val="24"/>
                <w:highlight w:val="none"/>
                <w14:textFill>
                  <w14:solidFill>
                    <w14:schemeClr w14:val="tx1"/>
                  </w14:solidFill>
                </w14:textFill>
              </w:rPr>
              <w:t>（按实结算）</w:t>
            </w:r>
          </w:p>
        </w:tc>
        <w:tc>
          <w:tcPr>
            <w:tcW w:w="590" w:type="pct"/>
          </w:tcPr>
          <w:p>
            <w:pPr>
              <w:spacing w:line="360" w:lineRule="auto"/>
              <w:rPr>
                <w:rFonts w:ascii="宋体" w:hAnsi="宋体" w:cs="宋体"/>
                <w:sz w:val="24"/>
              </w:rPr>
            </w:pPr>
          </w:p>
        </w:tc>
        <w:tc>
          <w:tcPr>
            <w:tcW w:w="728" w:type="pct"/>
          </w:tcPr>
          <w:p>
            <w:pPr>
              <w:spacing w:line="360" w:lineRule="auto"/>
              <w:rPr>
                <w:rFonts w:ascii="宋体" w:hAnsi="宋体" w:cs="宋体"/>
                <w:sz w:val="24"/>
              </w:rPr>
            </w:pPr>
          </w:p>
        </w:tc>
        <w:tc>
          <w:tcPr>
            <w:tcW w:w="729"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5" w:hRule="atLeast"/>
        </w:trPr>
        <w:tc>
          <w:tcPr>
            <w:tcW w:w="525" w:type="pct"/>
            <w:vMerge w:val="continue"/>
          </w:tcPr>
          <w:p>
            <w:pPr>
              <w:pStyle w:val="30"/>
              <w:spacing w:line="360" w:lineRule="auto"/>
              <w:jc w:val="both"/>
              <w:rPr>
                <w:rFonts w:hint="default" w:ascii="宋体" w:hAnsi="宋体" w:cs="宋体"/>
                <w:sz w:val="24"/>
                <w:szCs w:val="24"/>
              </w:rPr>
            </w:pPr>
          </w:p>
        </w:tc>
        <w:tc>
          <w:tcPr>
            <w:tcW w:w="548" w:type="pct"/>
            <w:vMerge w:val="continue"/>
          </w:tcPr>
          <w:p>
            <w:pPr>
              <w:spacing w:line="360" w:lineRule="auto"/>
              <w:rPr>
                <w:rFonts w:ascii="宋体" w:hAnsi="宋体" w:cs="宋体"/>
                <w:sz w:val="24"/>
              </w:rPr>
            </w:pPr>
          </w:p>
        </w:tc>
        <w:tc>
          <w:tcPr>
            <w:tcW w:w="123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宋体" w:hAnsi="宋体" w:cs="宋体"/>
                <w:sz w:val="24"/>
              </w:rPr>
            </w:pPr>
            <w:r>
              <w:rPr>
                <w:rFonts w:hint="eastAsia" w:ascii="宋体" w:hAnsi="宋体" w:cs="宋体"/>
                <w:sz w:val="24"/>
              </w:rPr>
              <w:t>罗马杆</w:t>
            </w:r>
          </w:p>
        </w:tc>
        <w:tc>
          <w:tcPr>
            <w:tcW w:w="644" w:type="pct"/>
            <w:vMerge w:val="continue"/>
          </w:tcPr>
          <w:p>
            <w:pPr>
              <w:spacing w:line="360" w:lineRule="auto"/>
              <w:rPr>
                <w:rFonts w:ascii="宋体" w:hAnsi="宋体" w:cs="宋体"/>
                <w:sz w:val="24"/>
              </w:rPr>
            </w:pPr>
          </w:p>
        </w:tc>
        <w:tc>
          <w:tcPr>
            <w:tcW w:w="590" w:type="pct"/>
          </w:tcPr>
          <w:p>
            <w:pPr>
              <w:spacing w:line="360" w:lineRule="auto"/>
              <w:rPr>
                <w:rFonts w:ascii="宋体" w:hAnsi="宋体" w:cs="宋体"/>
                <w:sz w:val="24"/>
              </w:rPr>
            </w:pPr>
          </w:p>
        </w:tc>
        <w:tc>
          <w:tcPr>
            <w:tcW w:w="728" w:type="pct"/>
          </w:tcPr>
          <w:p>
            <w:pPr>
              <w:spacing w:line="360" w:lineRule="auto"/>
              <w:rPr>
                <w:rFonts w:ascii="宋体" w:hAnsi="宋体" w:cs="宋体"/>
                <w:sz w:val="24"/>
              </w:rPr>
            </w:pPr>
          </w:p>
        </w:tc>
        <w:tc>
          <w:tcPr>
            <w:tcW w:w="729" w:type="pct"/>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5" w:hRule="atLeast"/>
        </w:trPr>
        <w:tc>
          <w:tcPr>
            <w:tcW w:w="525" w:type="pct"/>
            <w:vMerge w:val="continue"/>
          </w:tcPr>
          <w:p>
            <w:pPr>
              <w:keepNext w:val="0"/>
              <w:keepLines w:val="0"/>
              <w:pageBreakBefore w:val="0"/>
              <w:widowControl/>
              <w:kinsoku/>
              <w:wordWrap/>
              <w:overflowPunct/>
              <w:topLinePunct w:val="0"/>
              <w:autoSpaceDE/>
              <w:autoSpaceDN/>
              <w:bidi w:val="0"/>
              <w:adjustRightInd/>
              <w:snapToGrid/>
              <w:spacing w:line="400" w:lineRule="exact"/>
              <w:jc w:val="center"/>
            </w:pPr>
          </w:p>
        </w:tc>
        <w:tc>
          <w:tcPr>
            <w:tcW w:w="548" w:type="pct"/>
            <w:vMerge w:val="continue"/>
          </w:tcPr>
          <w:p>
            <w:pPr>
              <w:keepNext w:val="0"/>
              <w:keepLines w:val="0"/>
              <w:pageBreakBefore w:val="0"/>
              <w:widowControl/>
              <w:kinsoku/>
              <w:wordWrap/>
              <w:overflowPunct/>
              <w:topLinePunct w:val="0"/>
              <w:autoSpaceDE/>
              <w:autoSpaceDN/>
              <w:bidi w:val="0"/>
              <w:adjustRightInd/>
              <w:snapToGrid/>
              <w:spacing w:line="400" w:lineRule="exact"/>
              <w:jc w:val="center"/>
            </w:pPr>
          </w:p>
        </w:tc>
        <w:tc>
          <w:tcPr>
            <w:tcW w:w="1232"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b w:val="0"/>
                <w:bCs w:val="0"/>
                <w:color w:val="auto"/>
                <w:sz w:val="24"/>
                <w:szCs w:val="24"/>
                <w:highlight w:val="none"/>
                <w:vertAlign w:val="baseline"/>
                <w:lang w:val="en-US" w:eastAsia="zh-CN"/>
              </w:rPr>
              <w:t>高精度半遮光窗帘布</w:t>
            </w:r>
            <w:r>
              <w:rPr>
                <w:rFonts w:hint="eastAsia" w:ascii="宋体" w:hAnsi="宋体"/>
                <w:color w:val="auto"/>
                <w:kern w:val="0"/>
                <w:sz w:val="24"/>
                <w:highlight w:val="none"/>
                <w:lang w:eastAsia="zh-CN"/>
              </w:rPr>
              <w:t>（两倍褶皱）</w:t>
            </w:r>
          </w:p>
        </w:tc>
        <w:tc>
          <w:tcPr>
            <w:tcW w:w="644" w:type="pct"/>
            <w:vMerge w:val="continue"/>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p>
        </w:tc>
        <w:tc>
          <w:tcPr>
            <w:tcW w:w="590" w:type="pct"/>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p>
        </w:tc>
        <w:tc>
          <w:tcPr>
            <w:tcW w:w="728" w:type="pct"/>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p>
        </w:tc>
        <w:tc>
          <w:tcPr>
            <w:tcW w:w="729" w:type="pct"/>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b w:val="0"/>
                <w:bCs w:val="0"/>
                <w:color w:val="auto"/>
                <w:sz w:val="24"/>
                <w:szCs w:val="24"/>
                <w:highlight w:val="none"/>
                <w:vertAlign w:val="baseline"/>
                <w:lang w:val="en-US" w:eastAsia="zh-CN"/>
              </w:rPr>
            </w:pPr>
          </w:p>
        </w:tc>
      </w:tr>
    </w:tbl>
    <w:p>
      <w:pPr>
        <w:pStyle w:val="30"/>
        <w:spacing w:line="360" w:lineRule="auto"/>
        <w:jc w:val="both"/>
        <w:rPr>
          <w:rFonts w:hint="default" w:ascii="宋体" w:hAnsi="宋体" w:cs="宋体"/>
          <w:sz w:val="24"/>
          <w:szCs w:val="24"/>
        </w:rPr>
      </w:pPr>
      <w:r>
        <w:rPr>
          <w:rFonts w:ascii="宋体" w:hAnsi="宋体" w:cs="宋体"/>
          <w:sz w:val="24"/>
          <w:szCs w:val="24"/>
        </w:rPr>
        <w:t>※注意：</w:t>
      </w:r>
    </w:p>
    <w:p>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0"/>
        <w:spacing w:line="360" w:lineRule="auto"/>
        <w:ind w:firstLine="480"/>
        <w:jc w:val="both"/>
        <w:rPr>
          <w:rFonts w:hint="default" w:ascii="宋体" w:hAnsi="宋体" w:cs="宋体"/>
          <w:b/>
          <w:bCs/>
          <w:sz w:val="24"/>
          <w:szCs w:val="24"/>
        </w:rPr>
      </w:pPr>
      <w:r>
        <w:rPr>
          <w:rFonts w:ascii="宋体" w:hAnsi="宋体" w:cs="宋体"/>
          <w:b/>
          <w:bCs/>
          <w:sz w:val="24"/>
          <w:szCs w:val="24"/>
        </w:rPr>
        <w:t>1.</w:t>
      </w:r>
      <w:r>
        <w:rPr>
          <w:rFonts w:hint="eastAsia" w:ascii="宋体" w:hAnsi="宋体" w:cs="宋体"/>
          <w:b/>
          <w:bCs/>
          <w:sz w:val="24"/>
          <w:szCs w:val="24"/>
          <w:lang w:val="en-US" w:eastAsia="zh-CN"/>
        </w:rPr>
        <w:t>1</w:t>
      </w:r>
      <w:r>
        <w:rPr>
          <w:rFonts w:ascii="宋体" w:hAnsi="宋体" w:cs="宋体"/>
          <w:b/>
          <w:bCs/>
          <w:sz w:val="24"/>
          <w:szCs w:val="24"/>
        </w:rPr>
        <w:t>货物</w:t>
      </w:r>
      <w:r>
        <w:rPr>
          <w:rFonts w:ascii="宋体" w:hAnsi="宋体" w:cs="宋体"/>
          <w:b/>
          <w:bCs/>
          <w:sz w:val="24"/>
          <w:szCs w:val="24"/>
          <w:lang w:eastAsia="zh-CN"/>
        </w:rPr>
        <w:t>类项目</w:t>
      </w:r>
      <w:r>
        <w:rPr>
          <w:rFonts w:ascii="宋体" w:hAnsi="宋体" w:cs="宋体"/>
          <w:b/>
          <w:bCs/>
          <w:sz w:val="24"/>
          <w:szCs w:val="24"/>
        </w:rPr>
        <w:t>：“规格”项下应填写货物制造厂商赋予的品牌（属于节能、环保清单产品的货物，填写的品牌名称应与清单载明的品牌名称保持一致）及具体型号</w:t>
      </w:r>
      <w:r>
        <w:rPr>
          <w:rFonts w:hint="eastAsia" w:ascii="宋体" w:hAnsi="宋体" w:cs="宋体"/>
          <w:b/>
          <w:bCs/>
          <w:sz w:val="24"/>
          <w:szCs w:val="24"/>
          <w:lang w:eastAsia="zh-CN"/>
        </w:rPr>
        <w:t>（若有）</w:t>
      </w:r>
      <w:r>
        <w:rPr>
          <w:rFonts w:ascii="宋体" w:hAnsi="宋体" w:cs="宋体"/>
          <w:b/>
          <w:bCs/>
          <w:sz w:val="24"/>
          <w:szCs w:val="24"/>
        </w:rPr>
        <w:t>。“来源地”应填写货物的原产地。</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7"/>
        <w:spacing w:line="360" w:lineRule="auto"/>
        <w:ind w:left="0" w:leftChars="0"/>
        <w:rPr>
          <w:rFonts w:ascii="宋体" w:hAnsi="宋体" w:cs="宋体"/>
          <w:sz w:val="24"/>
        </w:rPr>
      </w:pPr>
      <w:r>
        <w:rPr>
          <w:rFonts w:ascii="宋体" w:hAnsi="宋体" w:cs="宋体"/>
          <w:sz w:val="24"/>
        </w:rPr>
        <w:t xml:space="preserve"> </w:t>
      </w:r>
    </w:p>
    <w:p>
      <w:pPr>
        <w:rPr>
          <w:rFonts w:ascii="宋体" w:hAnsi="宋体" w:cs="宋体"/>
          <w:sz w:val="24"/>
        </w:rPr>
      </w:pPr>
      <w:r>
        <w:rPr>
          <w:rFonts w:ascii="宋体" w:hAnsi="宋体" w:cs="宋体"/>
          <w:sz w:val="24"/>
        </w:rPr>
        <w:br w:type="page"/>
      </w:r>
    </w:p>
    <w:p/>
    <w:p>
      <w:pPr>
        <w:pStyle w:val="13"/>
        <w:numPr>
          <w:ilvl w:val="0"/>
          <w:numId w:val="2"/>
        </w:numPr>
        <w:jc w:val="center"/>
        <w:rPr>
          <w:rFonts w:ascii="宋体" w:hAnsi="宋体" w:cs="宋体"/>
          <w:sz w:val="28"/>
          <w:szCs w:val="28"/>
        </w:rPr>
      </w:pPr>
      <w:r>
        <w:rPr>
          <w:rFonts w:hint="eastAsia" w:ascii="宋体" w:hAnsi="宋体" w:cs="宋体"/>
          <w:sz w:val="28"/>
          <w:szCs w:val="28"/>
        </w:rPr>
        <w:t>网上竞价内容及要求偏离表</w:t>
      </w:r>
    </w:p>
    <w:p>
      <w:pPr>
        <w:pStyle w:val="13"/>
        <w:rPr>
          <w:rFonts w:ascii="宋体" w:hAnsi="宋体" w:cs="宋体"/>
          <w:b/>
          <w:bCs/>
          <w:sz w:val="28"/>
          <w:szCs w:val="28"/>
        </w:rPr>
      </w:pPr>
    </w:p>
    <w:p>
      <w:pPr>
        <w:pStyle w:val="14"/>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8"/>
        <w:tblW w:w="4996" w:type="pct"/>
        <w:tblInd w:w="0" w:type="dxa"/>
        <w:tblLayout w:type="autofit"/>
        <w:tblCellMar>
          <w:top w:w="0" w:type="dxa"/>
          <w:left w:w="0" w:type="dxa"/>
          <w:bottom w:w="0" w:type="dxa"/>
          <w:right w:w="0" w:type="dxa"/>
        </w:tblCellMar>
      </w:tblPr>
      <w:tblGrid>
        <w:gridCol w:w="804"/>
        <w:gridCol w:w="3651"/>
        <w:gridCol w:w="3345"/>
        <w:gridCol w:w="2070"/>
      </w:tblGrid>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合同包</w:t>
            </w: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网上竞价内容及要求</w:t>
            </w: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响应文件响应承诺</w:t>
            </w: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407"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1849"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694"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1048" w:type="pct"/>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bl>
    <w:p>
      <w:pPr>
        <w:pStyle w:val="14"/>
        <w:spacing w:before="0" w:beforeAutospacing="0" w:after="0" w:afterAutospacing="0" w:line="360" w:lineRule="auto"/>
        <w:rPr>
          <w:b/>
          <w:bCs/>
        </w:rPr>
      </w:pPr>
      <w:r>
        <w:rPr>
          <w:rFonts w:hint="eastAsia"/>
          <w:b/>
          <w:bCs/>
        </w:rPr>
        <w:t>注：</w:t>
      </w:r>
    </w:p>
    <w:p>
      <w:pPr>
        <w:pStyle w:val="14"/>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7"/>
        <w:spacing w:line="360" w:lineRule="auto"/>
        <w:ind w:left="0" w:leftChars="0"/>
        <w:rPr>
          <w:rFonts w:ascii="宋体" w:hAnsi="宋体" w:cs="宋体"/>
          <w:b/>
          <w:bCs/>
          <w:sz w:val="28"/>
          <w:szCs w:val="28"/>
        </w:rPr>
      </w:pPr>
    </w:p>
    <w:p>
      <w:pPr>
        <w:pStyle w:val="13"/>
        <w:rPr>
          <w:rFonts w:ascii="宋体" w:hAnsi="宋体" w:cs="宋体"/>
          <w:b/>
          <w:bCs/>
          <w:sz w:val="28"/>
          <w:szCs w:val="28"/>
        </w:rPr>
      </w:pPr>
    </w:p>
    <w:p>
      <w:pPr>
        <w:pStyle w:val="13"/>
        <w:rPr>
          <w:rFonts w:ascii="宋体" w:hAnsi="宋体" w:cs="宋体"/>
          <w:b/>
          <w:bCs/>
          <w:sz w:val="28"/>
          <w:szCs w:val="28"/>
        </w:rPr>
      </w:pPr>
    </w:p>
    <w:p>
      <w:pPr>
        <w:pStyle w:val="7"/>
        <w:spacing w:line="360" w:lineRule="auto"/>
        <w:ind w:left="0" w:leftChars="0"/>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7"/>
        <w:spacing w:line="360" w:lineRule="auto"/>
        <w:ind w:left="0" w:leftChars="0"/>
        <w:jc w:val="center"/>
        <w:rPr>
          <w:rFonts w:ascii="宋体" w:hAnsi="宋体" w:cs="宋体"/>
          <w:b/>
          <w:bCs/>
          <w:sz w:val="28"/>
          <w:szCs w:val="28"/>
        </w:rPr>
      </w:pPr>
    </w:p>
    <w:p>
      <w:pPr>
        <w:pStyle w:val="7"/>
        <w:spacing w:line="360" w:lineRule="auto"/>
        <w:ind w:left="0" w:leftChars="0"/>
        <w:rPr>
          <w:sz w:val="24"/>
        </w:rPr>
      </w:pPr>
      <w:r>
        <w:rPr>
          <w:rFonts w:hint="eastAsia" w:ascii="宋体" w:hAnsi="宋体" w:cs="宋体"/>
          <w:b/>
          <w:bCs/>
          <w:sz w:val="28"/>
          <w:szCs w:val="28"/>
        </w:rPr>
        <w:t xml:space="preserve">         </w:t>
      </w:r>
      <w:r>
        <w:rPr>
          <w:rFonts w:hint="eastAsia" w:ascii="宋体" w:hAnsi="宋体" w:cs="宋体"/>
          <w:sz w:val="24"/>
        </w:rPr>
        <w:t>网上竞价文件第三章要求的其他证明材料。</w:t>
      </w: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rPr>
          <w:rFonts w:hint="eastAsia" w:ascii="宋体" w:hAnsi="宋体" w:cs="宋体"/>
          <w:b/>
          <w:bCs/>
          <w:sz w:val="28"/>
          <w:szCs w:val="28"/>
        </w:rPr>
      </w:pPr>
      <w:r>
        <w:rPr>
          <w:rFonts w:hint="eastAsia" w:ascii="宋体" w:hAnsi="宋体" w:cs="宋体"/>
          <w:b/>
          <w:bCs/>
          <w:sz w:val="28"/>
          <w:szCs w:val="28"/>
        </w:rPr>
        <w:br w:type="page"/>
      </w: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3"/>
        <w:rPr>
          <w:rFonts w:ascii="楷体_GB2312" w:eastAsia="楷体_GB2312"/>
          <w:b/>
          <w:sz w:val="44"/>
          <w:szCs w:val="44"/>
        </w:rPr>
      </w:pPr>
    </w:p>
    <w:p>
      <w:pPr>
        <w:pStyle w:val="13"/>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keepNext w:val="0"/>
        <w:keepLines w:val="0"/>
        <w:pageBreakBefore w:val="0"/>
        <w:widowControl w:val="0"/>
        <w:kinsoku/>
        <w:wordWrap/>
        <w:overflowPunct/>
        <w:topLinePunct w:val="0"/>
        <w:autoSpaceDE/>
        <w:autoSpaceDN/>
        <w:bidi w:val="0"/>
        <w:adjustRightInd/>
        <w:snapToGrid/>
        <w:textAlignment w:val="auto"/>
        <w:outlineLvl w:val="9"/>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3"/>
      </w:pPr>
    </w:p>
    <w:p>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sz w:val="32"/>
          <w:szCs w:val="32"/>
        </w:rPr>
      </w:pPr>
      <w:r>
        <w:rPr>
          <w:sz w:val="32"/>
          <w:szCs w:val="32"/>
        </w:rPr>
        <w:t>1、报价一览表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cs="宋体"/>
          <w:b/>
          <w:bCs/>
          <w:sz w:val="24"/>
        </w:rPr>
      </w:pPr>
      <w:r>
        <w:rPr>
          <w:rFonts w:hint="eastAsia"/>
          <w:b/>
          <w:bCs/>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lang w:eastAsia="zh-CN"/>
              </w:rPr>
              <w:t>预估</w:t>
            </w: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numPr>
          <w:ilvl w:val="0"/>
          <w:numId w:val="4"/>
        </w:numPr>
        <w:jc w:val="center"/>
      </w:pPr>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eastAsia="宋体" w:cs="Times New Roman"/>
          <w:sz w:val="32"/>
          <w:szCs w:val="32"/>
        </w:rPr>
      </w:pPr>
      <w:r>
        <w:rPr>
          <w:rFonts w:hint="eastAsia" w:eastAsia="宋体" w:cs="Times New Roman"/>
          <w:sz w:val="32"/>
          <w:szCs w:val="32"/>
        </w:rPr>
        <w:t>2、货物（服务）</w:t>
      </w:r>
      <w:r>
        <w:rPr>
          <w:rFonts w:eastAsia="宋体" w:cs="Times New Roman"/>
          <w:sz w:val="32"/>
          <w:szCs w:val="32"/>
        </w:rPr>
        <w:t>分项报价表（若有）</w:t>
      </w:r>
    </w:p>
    <w:p>
      <w:pPr>
        <w:pStyle w:val="14"/>
        <w:numPr>
          <w:ilvl w:val="0"/>
          <w:numId w:val="5"/>
        </w:numPr>
        <w:spacing w:before="75" w:beforeAutospacing="0" w:after="75" w:afterAutospacing="0" w:line="360" w:lineRule="auto"/>
        <w:rPr>
          <w:b/>
          <w:bCs/>
        </w:rPr>
      </w:pPr>
      <w:r>
        <w:rPr>
          <w:rFonts w:hint="eastAsia"/>
          <w:b/>
          <w:bCs/>
        </w:rPr>
        <w:t>供应商应在网上竞价系统平台中报出项目总价，在网上竞价过程中无需上传分项报价表（若有）。</w:t>
      </w:r>
    </w:p>
    <w:p>
      <w:pPr>
        <w:pStyle w:val="14"/>
        <w:numPr>
          <w:ilvl w:val="0"/>
          <w:numId w:val="5"/>
        </w:numPr>
        <w:spacing w:before="75" w:beforeAutospacing="0" w:after="75" w:afterAutospacing="0" w:line="360" w:lineRule="auto"/>
        <w:rPr>
          <w:b/>
          <w:bCs/>
        </w:rPr>
      </w:pPr>
      <w:r>
        <w:rPr>
          <w:rFonts w:hint="eastAsia"/>
          <w:b/>
          <w:bCs/>
        </w:rPr>
        <w:t>成交供应商的分项报价表（若有）随纸质响应文件提供。</w:t>
      </w:r>
    </w:p>
    <w:p>
      <w:pPr>
        <w:pStyle w:val="14"/>
        <w:numPr>
          <w:ilvl w:val="0"/>
          <w:numId w:val="5"/>
        </w:numPr>
        <w:spacing w:before="75" w:beforeAutospacing="0" w:after="75" w:afterAutospacing="0" w:line="360" w:lineRule="auto"/>
        <w:rPr>
          <w:b/>
          <w:bCs/>
        </w:rPr>
      </w:pPr>
      <w:r>
        <w:rPr>
          <w:rFonts w:hint="eastAsia"/>
          <w:b/>
          <w:bCs/>
        </w:rPr>
        <w:t>本表为货物、服务项目适用。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退堂鼓鼓手">
    <w15:presenceInfo w15:providerId="WPS Office" w15:userId="1621481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NzMwODhlMDA4MGQ1MzYxZTZkYmNmMzRkZjFjODAifQ=="/>
  </w:docVars>
  <w:rsids>
    <w:rsidRoot w:val="7D0C36B0"/>
    <w:rsid w:val="00091325"/>
    <w:rsid w:val="00101067"/>
    <w:rsid w:val="00357C9D"/>
    <w:rsid w:val="004E616D"/>
    <w:rsid w:val="00572F8A"/>
    <w:rsid w:val="005D48C2"/>
    <w:rsid w:val="008B5C3E"/>
    <w:rsid w:val="008C0256"/>
    <w:rsid w:val="008D7197"/>
    <w:rsid w:val="00904884"/>
    <w:rsid w:val="009511BF"/>
    <w:rsid w:val="00A91D03"/>
    <w:rsid w:val="00AD4857"/>
    <w:rsid w:val="00AF751C"/>
    <w:rsid w:val="00B45921"/>
    <w:rsid w:val="00BD3B18"/>
    <w:rsid w:val="00CE72AE"/>
    <w:rsid w:val="00CF3EA5"/>
    <w:rsid w:val="00DC7B7C"/>
    <w:rsid w:val="00E270FA"/>
    <w:rsid w:val="017007C4"/>
    <w:rsid w:val="01BF386B"/>
    <w:rsid w:val="01D96D99"/>
    <w:rsid w:val="02C80F58"/>
    <w:rsid w:val="0327352A"/>
    <w:rsid w:val="047C5BE9"/>
    <w:rsid w:val="05191440"/>
    <w:rsid w:val="06053772"/>
    <w:rsid w:val="066C58B5"/>
    <w:rsid w:val="078834F2"/>
    <w:rsid w:val="07CE08D7"/>
    <w:rsid w:val="083B593B"/>
    <w:rsid w:val="09237F16"/>
    <w:rsid w:val="0ABA412D"/>
    <w:rsid w:val="0AD0153F"/>
    <w:rsid w:val="0BFC3C47"/>
    <w:rsid w:val="0C524BC1"/>
    <w:rsid w:val="0D1B387B"/>
    <w:rsid w:val="0E402852"/>
    <w:rsid w:val="0EC95AAB"/>
    <w:rsid w:val="0F7478F2"/>
    <w:rsid w:val="0FD76BE7"/>
    <w:rsid w:val="107950B4"/>
    <w:rsid w:val="10B07603"/>
    <w:rsid w:val="11375339"/>
    <w:rsid w:val="11E70DE6"/>
    <w:rsid w:val="123725FC"/>
    <w:rsid w:val="12662BF6"/>
    <w:rsid w:val="1291752C"/>
    <w:rsid w:val="13192772"/>
    <w:rsid w:val="13332A68"/>
    <w:rsid w:val="13646B97"/>
    <w:rsid w:val="13FF5427"/>
    <w:rsid w:val="145044FA"/>
    <w:rsid w:val="145B7487"/>
    <w:rsid w:val="14997544"/>
    <w:rsid w:val="154462C0"/>
    <w:rsid w:val="161F618A"/>
    <w:rsid w:val="16FB6BF7"/>
    <w:rsid w:val="16FB7731"/>
    <w:rsid w:val="181D397D"/>
    <w:rsid w:val="18455C50"/>
    <w:rsid w:val="193B33BD"/>
    <w:rsid w:val="19F35491"/>
    <w:rsid w:val="1ABB1CB4"/>
    <w:rsid w:val="1B4C00B3"/>
    <w:rsid w:val="1C6662D9"/>
    <w:rsid w:val="1C756BCA"/>
    <w:rsid w:val="1DB01F38"/>
    <w:rsid w:val="1E0C680F"/>
    <w:rsid w:val="1E6F7BB5"/>
    <w:rsid w:val="1E772572"/>
    <w:rsid w:val="1EA74E0A"/>
    <w:rsid w:val="1FCE03E6"/>
    <w:rsid w:val="20B93497"/>
    <w:rsid w:val="21715CA3"/>
    <w:rsid w:val="229B1419"/>
    <w:rsid w:val="22F664C5"/>
    <w:rsid w:val="2664616D"/>
    <w:rsid w:val="27B0758A"/>
    <w:rsid w:val="28ED4932"/>
    <w:rsid w:val="2A872D00"/>
    <w:rsid w:val="2B384DC9"/>
    <w:rsid w:val="2B5B134A"/>
    <w:rsid w:val="2BB92E41"/>
    <w:rsid w:val="2BE37F2A"/>
    <w:rsid w:val="2BE5357A"/>
    <w:rsid w:val="2C970D19"/>
    <w:rsid w:val="2CC3566A"/>
    <w:rsid w:val="2CE8602F"/>
    <w:rsid w:val="2D5C786C"/>
    <w:rsid w:val="2E4E3659"/>
    <w:rsid w:val="2EF601AB"/>
    <w:rsid w:val="2F1D7458"/>
    <w:rsid w:val="2FC736C3"/>
    <w:rsid w:val="2FD76403"/>
    <w:rsid w:val="304401E6"/>
    <w:rsid w:val="30B63F0F"/>
    <w:rsid w:val="31757D4B"/>
    <w:rsid w:val="3206672B"/>
    <w:rsid w:val="322D7E6C"/>
    <w:rsid w:val="32555174"/>
    <w:rsid w:val="32A33816"/>
    <w:rsid w:val="331F493E"/>
    <w:rsid w:val="343958F2"/>
    <w:rsid w:val="34442F4F"/>
    <w:rsid w:val="34765862"/>
    <w:rsid w:val="349630CE"/>
    <w:rsid w:val="34E15227"/>
    <w:rsid w:val="35342044"/>
    <w:rsid w:val="366C445A"/>
    <w:rsid w:val="36FC292C"/>
    <w:rsid w:val="37723E6A"/>
    <w:rsid w:val="387570D8"/>
    <w:rsid w:val="38984E8B"/>
    <w:rsid w:val="39672DBD"/>
    <w:rsid w:val="3A06184C"/>
    <w:rsid w:val="3AAC3BE1"/>
    <w:rsid w:val="3B951460"/>
    <w:rsid w:val="3DF73D1B"/>
    <w:rsid w:val="3E083194"/>
    <w:rsid w:val="3F7D5028"/>
    <w:rsid w:val="3FCF05DD"/>
    <w:rsid w:val="4069290A"/>
    <w:rsid w:val="40BA5965"/>
    <w:rsid w:val="40E67721"/>
    <w:rsid w:val="4111484F"/>
    <w:rsid w:val="41207397"/>
    <w:rsid w:val="41EE4ADF"/>
    <w:rsid w:val="43016A94"/>
    <w:rsid w:val="4365451E"/>
    <w:rsid w:val="44DF4BB3"/>
    <w:rsid w:val="45B26E32"/>
    <w:rsid w:val="45BB2A9C"/>
    <w:rsid w:val="46E82445"/>
    <w:rsid w:val="47AD2485"/>
    <w:rsid w:val="481579B9"/>
    <w:rsid w:val="48456549"/>
    <w:rsid w:val="48AF1609"/>
    <w:rsid w:val="48F50E49"/>
    <w:rsid w:val="49143FE3"/>
    <w:rsid w:val="499155B1"/>
    <w:rsid w:val="4A114033"/>
    <w:rsid w:val="4A192E60"/>
    <w:rsid w:val="4A6B76DF"/>
    <w:rsid w:val="4B6039DC"/>
    <w:rsid w:val="4BE62CA1"/>
    <w:rsid w:val="4BEA4569"/>
    <w:rsid w:val="4C853456"/>
    <w:rsid w:val="4C8D0406"/>
    <w:rsid w:val="4D7366C9"/>
    <w:rsid w:val="4F2007B1"/>
    <w:rsid w:val="4FCA2B8A"/>
    <w:rsid w:val="4FF859C6"/>
    <w:rsid w:val="50785225"/>
    <w:rsid w:val="508E3509"/>
    <w:rsid w:val="512E7607"/>
    <w:rsid w:val="513D6FBD"/>
    <w:rsid w:val="51AD665B"/>
    <w:rsid w:val="5201696E"/>
    <w:rsid w:val="525F592E"/>
    <w:rsid w:val="537030EF"/>
    <w:rsid w:val="54543237"/>
    <w:rsid w:val="548B2F99"/>
    <w:rsid w:val="551B5793"/>
    <w:rsid w:val="553C6CD1"/>
    <w:rsid w:val="566D18D2"/>
    <w:rsid w:val="569A68B2"/>
    <w:rsid w:val="56BC6B02"/>
    <w:rsid w:val="56E246A2"/>
    <w:rsid w:val="57676FAD"/>
    <w:rsid w:val="579B2BBB"/>
    <w:rsid w:val="59EC25F4"/>
    <w:rsid w:val="59EE13EB"/>
    <w:rsid w:val="5A1F3F20"/>
    <w:rsid w:val="5B985EF4"/>
    <w:rsid w:val="5C2B04AE"/>
    <w:rsid w:val="5C693288"/>
    <w:rsid w:val="5C8C2B60"/>
    <w:rsid w:val="5D536F59"/>
    <w:rsid w:val="5DAA1DAA"/>
    <w:rsid w:val="5E5D18E8"/>
    <w:rsid w:val="5E620622"/>
    <w:rsid w:val="5ECD1534"/>
    <w:rsid w:val="5ED04EBE"/>
    <w:rsid w:val="5EFC0A8E"/>
    <w:rsid w:val="5F0C10FD"/>
    <w:rsid w:val="5F3F4774"/>
    <w:rsid w:val="5F571ABE"/>
    <w:rsid w:val="5FAB0540"/>
    <w:rsid w:val="60C3622F"/>
    <w:rsid w:val="60E372DE"/>
    <w:rsid w:val="614A3B09"/>
    <w:rsid w:val="614B7E41"/>
    <w:rsid w:val="61C86CA3"/>
    <w:rsid w:val="62653249"/>
    <w:rsid w:val="62667048"/>
    <w:rsid w:val="629618C8"/>
    <w:rsid w:val="62BD432E"/>
    <w:rsid w:val="62F55A50"/>
    <w:rsid w:val="631E2BF8"/>
    <w:rsid w:val="632526FC"/>
    <w:rsid w:val="63AF5A7E"/>
    <w:rsid w:val="63C0699C"/>
    <w:rsid w:val="64C64FF0"/>
    <w:rsid w:val="65EC32D5"/>
    <w:rsid w:val="670A6F1A"/>
    <w:rsid w:val="67AA6857"/>
    <w:rsid w:val="67FF35A1"/>
    <w:rsid w:val="68182006"/>
    <w:rsid w:val="686B6A55"/>
    <w:rsid w:val="693B7832"/>
    <w:rsid w:val="695B3155"/>
    <w:rsid w:val="6A0B4BDE"/>
    <w:rsid w:val="6A7027B4"/>
    <w:rsid w:val="6D0E1A7F"/>
    <w:rsid w:val="6DCD4FE7"/>
    <w:rsid w:val="6DED5727"/>
    <w:rsid w:val="6E58315D"/>
    <w:rsid w:val="721C436A"/>
    <w:rsid w:val="727B094D"/>
    <w:rsid w:val="74B44E65"/>
    <w:rsid w:val="7657031B"/>
    <w:rsid w:val="76A03E42"/>
    <w:rsid w:val="77024756"/>
    <w:rsid w:val="77FA1A99"/>
    <w:rsid w:val="7A063F7A"/>
    <w:rsid w:val="7A3E3C94"/>
    <w:rsid w:val="7A4058F2"/>
    <w:rsid w:val="7A794B87"/>
    <w:rsid w:val="7AAB2866"/>
    <w:rsid w:val="7AF92A18"/>
    <w:rsid w:val="7BB5399C"/>
    <w:rsid w:val="7BC60A3F"/>
    <w:rsid w:val="7C225600"/>
    <w:rsid w:val="7C2470D1"/>
    <w:rsid w:val="7CEA684B"/>
    <w:rsid w:val="7D0C36B0"/>
    <w:rsid w:val="7DEA0224"/>
    <w:rsid w:val="7E8E2864"/>
    <w:rsid w:val="7EC438F0"/>
    <w:rsid w:val="7EDC4F06"/>
    <w:rsid w:val="7EFC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2">
    <w:name w:val="heading 3"/>
    <w:basedOn w:val="1"/>
    <w:next w:val="1"/>
    <w:autoRedefine/>
    <w:unhideWhenUsed/>
    <w:qFormat/>
    <w:uiPriority w:val="9"/>
    <w:pPr>
      <w:keepNext/>
      <w:keepLines/>
      <w:spacing w:before="260" w:after="260" w:line="416" w:lineRule="auto"/>
      <w:outlineLvl w:val="2"/>
    </w:pPr>
    <w:rPr>
      <w:sz w:val="32"/>
      <w:szCs w:val="32"/>
    </w:rPr>
  </w:style>
  <w:style w:type="paragraph" w:styleId="5">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Cs w:val="20"/>
    </w:rPr>
  </w:style>
  <w:style w:type="paragraph" w:styleId="7">
    <w:name w:val="Body Text Indent"/>
    <w:basedOn w:val="1"/>
    <w:next w:val="1"/>
    <w:autoRedefine/>
    <w:qFormat/>
    <w:uiPriority w:val="0"/>
    <w:pPr>
      <w:spacing w:after="120"/>
      <w:ind w:left="420" w:leftChars="200"/>
    </w:pPr>
  </w:style>
  <w:style w:type="paragraph" w:styleId="8">
    <w:name w:val="annotation text"/>
    <w:basedOn w:val="1"/>
    <w:link w:val="35"/>
    <w:autoRedefine/>
    <w:qFormat/>
    <w:uiPriority w:val="0"/>
    <w:pPr>
      <w:jc w:val="left"/>
    </w:pPr>
  </w:style>
  <w:style w:type="paragraph" w:styleId="9">
    <w:name w:val="Body Text"/>
    <w:basedOn w:val="1"/>
    <w:next w:val="1"/>
    <w:autoRedefine/>
    <w:qFormat/>
    <w:uiPriority w:val="0"/>
    <w:pPr>
      <w:spacing w:after="120"/>
    </w:pPr>
  </w:style>
  <w:style w:type="paragraph" w:styleId="10">
    <w:name w:val="Plain Text"/>
    <w:basedOn w:val="1"/>
    <w:autoRedefine/>
    <w:qFormat/>
    <w:uiPriority w:val="0"/>
    <w:rPr>
      <w:rFonts w:ascii="宋体" w:hAnsi="Courier New"/>
      <w:kern w:val="0"/>
      <w:sz w:val="20"/>
    </w:rPr>
  </w:style>
  <w:style w:type="paragraph" w:styleId="11">
    <w:name w:val="Balloon Text"/>
    <w:basedOn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8"/>
    <w:next w:val="8"/>
    <w:link w:val="36"/>
    <w:autoRedefine/>
    <w:qFormat/>
    <w:uiPriority w:val="0"/>
    <w:rPr>
      <w:b/>
      <w:bCs/>
    </w:rPr>
  </w:style>
  <w:style w:type="paragraph" w:styleId="16">
    <w:name w:val="Body Text First Indent"/>
    <w:basedOn w:val="9"/>
    <w:next w:val="17"/>
    <w:autoRedefine/>
    <w:qFormat/>
    <w:uiPriority w:val="0"/>
    <w:pPr>
      <w:ind w:firstLine="420" w:firstLineChars="100"/>
    </w:pPr>
    <w:rPr>
      <w:rFonts w:ascii="Times New Roman" w:hAnsi="Times New Roman"/>
      <w:szCs w:val="20"/>
    </w:rPr>
  </w:style>
  <w:style w:type="paragraph" w:styleId="17">
    <w:name w:val="Body Text First Indent 2"/>
    <w:basedOn w:val="7"/>
    <w:next w:val="1"/>
    <w:autoRedefine/>
    <w:qFormat/>
    <w:uiPriority w:val="99"/>
    <w:pPr>
      <w:tabs>
        <w:tab w:val="left" w:pos="4606"/>
      </w:tabs>
      <w:ind w:firstLine="42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rFonts w:ascii="Calibri" w:hAnsi="Calibri" w:eastAsia="宋体" w:cs="Times New Roman"/>
      <w:kern w:val="2"/>
      <w:sz w:val="21"/>
      <w:szCs w:val="24"/>
      <w:lang w:val="en-US" w:eastAsia="zh-CN" w:bidi="ar-SA"/>
    </w:rPr>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样式 标题 3 + (中文) 黑体 小四 非加粗 段前: 7.8 磅 段后: 0 磅 行距: 固定值 20 磅"/>
    <w:basedOn w:val="2"/>
    <w:autoRedefine/>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5">
    <w:name w:val="样式3"/>
    <w:basedOn w:val="10"/>
    <w:autoRedefine/>
    <w:qFormat/>
    <w:uiPriority w:val="0"/>
    <w:pPr>
      <w:spacing w:line="0" w:lineRule="atLeast"/>
      <w:outlineLvl w:val="0"/>
    </w:pPr>
    <w:rPr>
      <w:sz w:val="28"/>
    </w:rPr>
  </w:style>
  <w:style w:type="character" w:customStyle="1" w:styleId="26">
    <w:name w:val="NormalCharacter"/>
    <w:autoRedefine/>
    <w:semiHidden/>
    <w:qFormat/>
    <w:uiPriority w:val="0"/>
    <w:rPr>
      <w:kern w:val="2"/>
      <w:sz w:val="21"/>
      <w:szCs w:val="24"/>
      <w:lang w:val="en-US" w:eastAsia="zh-CN" w:bidi="ar-SA"/>
    </w:rPr>
  </w:style>
  <w:style w:type="paragraph" w:customStyle="1" w:styleId="2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autoRedefine/>
    <w:qFormat/>
    <w:uiPriority w:val="0"/>
    <w:rPr>
      <w:rFonts w:ascii="Times New Roman" w:hAnsi="Times New Roman" w:eastAsia="宋体" w:cs="Times New Roman"/>
    </w:rPr>
  </w:style>
  <w:style w:type="paragraph" w:customStyle="1" w:styleId="30">
    <w:name w:val="null3"/>
    <w:autoRedefine/>
    <w:qFormat/>
    <w:uiPriority w:val="0"/>
    <w:rPr>
      <w:rFonts w:hint="eastAsia" w:ascii="Calibri" w:hAnsi="Calibri" w:eastAsia="宋体" w:cs="Times New Roman"/>
      <w:lang w:val="en-US" w:eastAsia="zh-CN" w:bidi="ar-SA"/>
    </w:rPr>
  </w:style>
  <w:style w:type="paragraph" w:customStyle="1" w:styleId="31">
    <w:name w:val="首行缩进"/>
    <w:basedOn w:val="1"/>
    <w:autoRedefine/>
    <w:qFormat/>
    <w:uiPriority w:val="0"/>
    <w:pPr>
      <w:spacing w:line="360" w:lineRule="auto"/>
      <w:ind w:firstLine="480" w:firstLineChars="200"/>
    </w:pPr>
    <w:rPr>
      <w:sz w:val="24"/>
      <w:lang w:val="zh-CN"/>
    </w:rPr>
  </w:style>
  <w:style w:type="character" w:customStyle="1" w:styleId="32">
    <w:name w:val="font21"/>
    <w:basedOn w:val="20"/>
    <w:autoRedefine/>
    <w:qFormat/>
    <w:uiPriority w:val="0"/>
    <w:rPr>
      <w:rFonts w:hint="eastAsia" w:ascii="宋体" w:hAnsi="宋体" w:eastAsia="宋体" w:cs="宋体"/>
      <w:color w:val="000000"/>
      <w:sz w:val="32"/>
      <w:szCs w:val="32"/>
      <w:u w:val="none"/>
    </w:rPr>
  </w:style>
  <w:style w:type="paragraph" w:customStyle="1" w:styleId="33">
    <w:name w:val="NormalIndent"/>
    <w:basedOn w:val="1"/>
    <w:next w:val="34"/>
    <w:autoRedefine/>
    <w:qFormat/>
    <w:uiPriority w:val="0"/>
    <w:pPr>
      <w:ind w:firstLine="420"/>
    </w:pPr>
    <w:rPr>
      <w:szCs w:val="20"/>
    </w:rPr>
  </w:style>
  <w:style w:type="paragraph" w:customStyle="1" w:styleId="34">
    <w:name w:val="BodyTextIndent"/>
    <w:basedOn w:val="1"/>
    <w:next w:val="33"/>
    <w:autoRedefine/>
    <w:qFormat/>
    <w:uiPriority w:val="0"/>
    <w:pPr>
      <w:spacing w:after="120"/>
      <w:ind w:left="420" w:leftChars="200"/>
    </w:pPr>
  </w:style>
  <w:style w:type="character" w:customStyle="1" w:styleId="35">
    <w:name w:val="批注文字 Char"/>
    <w:basedOn w:val="20"/>
    <w:link w:val="8"/>
    <w:autoRedefine/>
    <w:qFormat/>
    <w:uiPriority w:val="0"/>
    <w:rPr>
      <w:rFonts w:ascii="Calibri" w:hAnsi="Calibri"/>
      <w:kern w:val="2"/>
      <w:sz w:val="21"/>
      <w:szCs w:val="24"/>
    </w:rPr>
  </w:style>
  <w:style w:type="character" w:customStyle="1" w:styleId="36">
    <w:name w:val="批注主题 Char"/>
    <w:basedOn w:val="35"/>
    <w:link w:val="15"/>
    <w:autoRedefine/>
    <w:qFormat/>
    <w:uiPriority w:val="0"/>
    <w:rPr>
      <w:rFonts w:ascii="Calibri" w:hAnsi="Calibri"/>
      <w:b/>
      <w:bCs/>
      <w:kern w:val="2"/>
      <w:sz w:val="21"/>
      <w:szCs w:val="24"/>
    </w:rPr>
  </w:style>
  <w:style w:type="character" w:customStyle="1" w:styleId="37">
    <w:name w:val="批注框文本 Char"/>
    <w:basedOn w:val="20"/>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15841</Words>
  <Characters>17382</Characters>
  <Lines>129</Lines>
  <Paragraphs>36</Paragraphs>
  <TotalTime>3</TotalTime>
  <ScaleCrop>false</ScaleCrop>
  <LinksUpToDate>false</LinksUpToDate>
  <CharactersWithSpaces>18369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退堂鼓鼓手</cp:lastModifiedBy>
  <dcterms:modified xsi:type="dcterms:W3CDTF">2024-06-03T09:35:15Z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A37049B3C15C45BFB590C9D572B4D434_13</vt:lpwstr>
  </property>
</Properties>
</file>