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pStyle w:val="32"/>
        <w:spacing w:before="312" w:after="312"/>
        <w:rPr>
          <w:rStyle w:val="27"/>
        </w:rPr>
      </w:pPr>
    </w:p>
    <w:p>
      <w:pPr>
        <w:spacing w:line="500" w:lineRule="atLeast"/>
        <w:jc w:val="center"/>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FJHRWJ2024030</w:t>
      </w:r>
    </w:p>
    <w:p>
      <w:pPr>
        <w:pStyle w:val="50"/>
        <w:spacing w:after="0"/>
        <w:ind w:left="0" w:leftChars="0" w:firstLine="0"/>
        <w:jc w:val="center"/>
        <w:rPr>
          <w:rStyle w:val="27"/>
          <w:rFonts w:hint="eastAsia" w:ascii="宋体" w:hAnsi="宋体" w:cs="Times New Roman"/>
          <w:b/>
          <w:bCs/>
          <w:sz w:val="30"/>
          <w:szCs w:val="30"/>
          <w:lang w:eastAsia="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lang w:eastAsia="zh-CN"/>
        </w:rPr>
        <w:t>电工技能等级鉴定考证培训耗材采购项目</w:t>
      </w:r>
    </w:p>
    <w:p>
      <w:pPr>
        <w:pStyle w:val="50"/>
        <w:spacing w:after="0"/>
        <w:ind w:left="0" w:leftChars="0" w:firstLine="0"/>
        <w:jc w:val="center"/>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rPr>
        <w:t>五</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rPr>
        <w:t>福州职业技术学院“斜杠青年筑梦计划”之人才文创集市项目</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keepNext w:val="0"/>
        <w:keepLines w:val="0"/>
        <w:pageBreakBefore w:val="0"/>
        <w:widowControl/>
        <w:numPr>
          <w:ilvl w:val="0"/>
          <w:numId w:val="1"/>
        </w:numPr>
        <w:kinsoku/>
        <w:wordWrap/>
        <w:overflowPunct/>
        <w:topLinePunct w:val="0"/>
        <w:autoSpaceDE/>
        <w:autoSpaceDN/>
        <w:bidi w:val="0"/>
        <w:adjustRightInd/>
        <w:snapToGrid/>
        <w:spacing w:line="460" w:lineRule="atLeast"/>
        <w:ind w:firstLine="480" w:firstLineChars="200"/>
        <w:jc w:val="left"/>
        <w:textAlignment w:val="baseline"/>
        <w:rPr>
          <w:rStyle w:val="27"/>
          <w:rFonts w:ascii="宋体" w:hAnsi="宋体"/>
          <w:kern w:val="0"/>
          <w:sz w:val="24"/>
        </w:rPr>
      </w:pPr>
      <w:r>
        <w:rPr>
          <w:rStyle w:val="27"/>
          <w:rFonts w:ascii="宋体" w:hAnsi="宋体"/>
          <w:kern w:val="0"/>
          <w:sz w:val="24"/>
        </w:rPr>
        <w:t>竞价编号：</w:t>
      </w:r>
      <w:r>
        <w:rPr>
          <w:rStyle w:val="27"/>
          <w:rFonts w:hint="eastAsia" w:ascii="宋体" w:hAnsi="宋体"/>
          <w:kern w:val="0"/>
          <w:sz w:val="24"/>
          <w:lang w:eastAsia="zh-CN"/>
        </w:rPr>
        <w:t>FJHRWJ2024030</w:t>
      </w:r>
    </w:p>
    <w:p>
      <w:pPr>
        <w:keepNext w:val="0"/>
        <w:keepLines w:val="0"/>
        <w:pageBreakBefore w:val="0"/>
        <w:widowControl/>
        <w:numPr>
          <w:ilvl w:val="0"/>
          <w:numId w:val="1"/>
        </w:numPr>
        <w:kinsoku/>
        <w:wordWrap/>
        <w:overflowPunct/>
        <w:topLinePunct w:val="0"/>
        <w:autoSpaceDE/>
        <w:autoSpaceDN/>
        <w:bidi w:val="0"/>
        <w:adjustRightInd/>
        <w:snapToGrid/>
        <w:spacing w:line="460" w:lineRule="atLeast"/>
        <w:ind w:left="0" w:leftChars="0" w:firstLine="480" w:firstLineChars="200"/>
        <w:jc w:val="left"/>
        <w:textAlignment w:val="baseline"/>
        <w:rPr>
          <w:rStyle w:val="27"/>
          <w:rFonts w:hint="eastAsia" w:ascii="宋体" w:hAnsi="宋体"/>
          <w:kern w:val="0"/>
          <w:sz w:val="24"/>
          <w:lang w:eastAsia="zh-CN"/>
        </w:rPr>
      </w:pPr>
      <w:r>
        <w:rPr>
          <w:rStyle w:val="27"/>
          <w:rFonts w:ascii="宋体" w:hAnsi="宋体"/>
          <w:kern w:val="0"/>
          <w:sz w:val="24"/>
        </w:rPr>
        <w:t>项目名称：</w:t>
      </w:r>
      <w:r>
        <w:rPr>
          <w:rStyle w:val="27"/>
          <w:rFonts w:hint="eastAsia" w:ascii="宋体" w:hAnsi="宋体"/>
          <w:kern w:val="0"/>
          <w:sz w:val="24"/>
          <w:lang w:eastAsia="zh-CN"/>
        </w:rPr>
        <w:t>电工技能等级鉴定考证培训耗材采购项目</w:t>
      </w:r>
    </w:p>
    <w:p>
      <w:pPr>
        <w:keepNext w:val="0"/>
        <w:keepLines w:val="0"/>
        <w:pageBreakBefore w:val="0"/>
        <w:widowControl/>
        <w:numPr>
          <w:ilvl w:val="0"/>
          <w:numId w:val="0"/>
        </w:numPr>
        <w:kinsoku/>
        <w:wordWrap/>
        <w:overflowPunct/>
        <w:topLinePunct w:val="0"/>
        <w:autoSpaceDE/>
        <w:autoSpaceDN/>
        <w:bidi w:val="0"/>
        <w:adjustRightInd/>
        <w:snapToGrid/>
        <w:spacing w:line="460" w:lineRule="atLeast"/>
        <w:ind w:firstLine="480" w:firstLineChars="200"/>
        <w:jc w:val="left"/>
        <w:textAlignment w:val="baseline"/>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03</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03</w:t>
      </w:r>
      <w:r>
        <w:rPr>
          <w:rFonts w:hint="eastAsia" w:ascii="宋体" w:hAnsi="宋体" w:cs="宋体"/>
          <w:kern w:val="0"/>
          <w:sz w:val="24"/>
        </w:rPr>
        <w:t>日 11:00:00</w:t>
      </w:r>
    </w:p>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hint="default" w:ascii="宋体" w:hAnsi="宋体" w:cs="Times New Roman"/>
          <w:sz w:val="24"/>
          <w:lang w:val="en-US" w:eastAsia="zh-CN"/>
        </w:rPr>
      </w:pPr>
      <w:r>
        <w:rPr>
          <w:rStyle w:val="27"/>
          <w:rFonts w:ascii="宋体" w:hAnsi="宋体" w:cs="Times New Roman"/>
          <w:sz w:val="24"/>
        </w:rPr>
        <w:t>联系人及电话：</w:t>
      </w:r>
      <w:r>
        <w:rPr>
          <w:rStyle w:val="27"/>
          <w:rFonts w:hint="eastAsia" w:ascii="宋体" w:hAnsi="宋体" w:cs="Times New Roman"/>
          <w:sz w:val="24"/>
          <w:lang w:eastAsia="zh-CN"/>
        </w:rPr>
        <w:t>邹老师</w:t>
      </w:r>
      <w:r>
        <w:rPr>
          <w:rStyle w:val="27"/>
          <w:rFonts w:hint="eastAsia" w:ascii="宋体" w:hAnsi="宋体" w:cs="Times New Roman"/>
          <w:sz w:val="24"/>
          <w:lang w:val="en-US" w:eastAsia="zh-CN"/>
        </w:rPr>
        <w:t>13809510802</w:t>
      </w: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478" w:leftChars="228"/>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05</w:t>
      </w:r>
      <w:r>
        <w:rPr>
          <w:rStyle w:val="27"/>
          <w:rFonts w:ascii="宋体" w:hAnsi="宋体"/>
          <w:kern w:val="0"/>
          <w:sz w:val="24"/>
        </w:rPr>
        <w:t>月</w:t>
      </w:r>
      <w:r>
        <w:rPr>
          <w:rStyle w:val="27"/>
          <w:rFonts w:hint="eastAsia" w:ascii="宋体" w:hAnsi="宋体"/>
          <w:kern w:val="0"/>
          <w:sz w:val="24"/>
          <w:lang w:val="en-US" w:eastAsia="zh-CN"/>
        </w:rPr>
        <w:t>29</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05</w:t>
      </w:r>
      <w:r>
        <w:rPr>
          <w:rStyle w:val="27"/>
          <w:rFonts w:ascii="宋体" w:hAnsi="宋体"/>
          <w:kern w:val="0"/>
          <w:sz w:val="24"/>
        </w:rPr>
        <w:t>月</w:t>
      </w:r>
      <w:r>
        <w:rPr>
          <w:rStyle w:val="27"/>
          <w:rFonts w:hint="eastAsia" w:ascii="宋体" w:hAnsi="宋体"/>
          <w:kern w:val="0"/>
          <w:sz w:val="24"/>
          <w:lang w:val="en-US" w:eastAsia="zh-CN"/>
        </w:rPr>
        <w:t>31</w:t>
      </w:r>
      <w:bookmarkStart w:id="0" w:name="_GoBack"/>
      <w:bookmarkEnd w:id="0"/>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lang w:val="en-US" w:eastAsia="zh-CN"/>
        </w:rPr>
        <w:t>220</w:t>
      </w:r>
      <w:r>
        <w:rPr>
          <w:rStyle w:val="27"/>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5"/>
        <w:spacing w:before="75" w:beforeAutospacing="0" w:after="75" w:afterAutospacing="0" w:line="435" w:lineRule="atLeast"/>
        <w:ind w:firstLine="480"/>
      </w:pPr>
      <w:r>
        <w:rPr>
          <w:rFonts w:hint="eastAsia"/>
        </w:rPr>
        <w:t>（7）如果竞价人发生以下任何一种情况时，其竞价保证金将被不予退还：</w:t>
      </w:r>
    </w:p>
    <w:p>
      <w:pPr>
        <w:pStyle w:val="15"/>
        <w:spacing w:before="75" w:beforeAutospacing="0" w:after="75" w:afterAutospacing="0" w:line="435" w:lineRule="atLeast"/>
        <w:ind w:firstLine="480"/>
      </w:pPr>
      <w:r>
        <w:rPr>
          <w:rFonts w:hint="eastAsia"/>
        </w:rPr>
        <w:t>①竞价人在证明材料文件中提供虚假材料的；</w:t>
      </w:r>
    </w:p>
    <w:p>
      <w:pPr>
        <w:pStyle w:val="15"/>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5"/>
        <w:spacing w:before="75" w:beforeAutospacing="0" w:after="75" w:afterAutospacing="0" w:line="435" w:lineRule="atLeast"/>
        <w:ind w:firstLine="480"/>
      </w:pPr>
      <w:r>
        <w:rPr>
          <w:rFonts w:hint="eastAsia"/>
        </w:rPr>
        <w:t>③成交人自动放弃成交资格的；</w:t>
      </w:r>
    </w:p>
    <w:p>
      <w:pPr>
        <w:pStyle w:val="15"/>
        <w:spacing w:before="75" w:beforeAutospacing="0" w:after="75" w:afterAutospacing="0" w:line="435" w:lineRule="atLeast"/>
        <w:ind w:firstLine="480"/>
      </w:pPr>
      <w:r>
        <w:rPr>
          <w:rFonts w:hint="eastAsia"/>
        </w:rPr>
        <w:t>④竞价人假借以他人名义参加报价或者以其他方式弄虚作假，骗取成交；</w:t>
      </w:r>
    </w:p>
    <w:p>
      <w:pPr>
        <w:pStyle w:val="15"/>
        <w:spacing w:before="75" w:beforeAutospacing="0" w:after="75" w:afterAutospacing="0" w:line="435" w:lineRule="atLeast"/>
        <w:ind w:firstLine="480"/>
      </w:pPr>
      <w:r>
        <w:rPr>
          <w:rFonts w:hint="eastAsia"/>
        </w:rPr>
        <w:t>⑤国家法律法规以及竞价文件中规定的其他竞价保证金不予退还的情形。</w:t>
      </w:r>
    </w:p>
    <w:p>
      <w:pPr>
        <w:pStyle w:val="15"/>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5"/>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5"/>
        <w:spacing w:before="75" w:beforeAutospacing="0" w:after="75" w:afterAutospacing="0" w:line="435" w:lineRule="atLeast"/>
        <w:ind w:firstLine="480" w:firstLineChars="200"/>
      </w:pPr>
      <w:r>
        <w:rPr>
          <w:rFonts w:hint="eastAsia"/>
        </w:rPr>
        <w:t xml:space="preserve">①接收质疑函的方式：现场方式； </w:t>
      </w:r>
    </w:p>
    <w:p>
      <w:pPr>
        <w:pStyle w:val="15"/>
        <w:spacing w:before="75" w:beforeAutospacing="0" w:after="75" w:afterAutospacing="0" w:line="435" w:lineRule="atLeast"/>
        <w:ind w:firstLine="480" w:firstLineChars="200"/>
      </w:pPr>
      <w:r>
        <w:rPr>
          <w:rFonts w:hint="eastAsia"/>
        </w:rPr>
        <w:t>②接收质疑函的联系部门：福建省宏瑞招标代理有限公司；</w:t>
      </w:r>
    </w:p>
    <w:p>
      <w:pPr>
        <w:pStyle w:val="15"/>
        <w:spacing w:before="75" w:beforeAutospacing="0" w:after="75" w:afterAutospacing="0" w:line="435" w:lineRule="atLeast"/>
        <w:ind w:firstLine="480" w:firstLineChars="200"/>
      </w:pPr>
      <w:r>
        <w:rPr>
          <w:rFonts w:hint="eastAsia"/>
        </w:rPr>
        <w:t xml:space="preserve">③接收质疑函的联系电话：0591-83701177； </w:t>
      </w:r>
    </w:p>
    <w:p>
      <w:pPr>
        <w:pStyle w:val="15"/>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5"/>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Pr>
          <w:rStyle w:val="27"/>
          <w:rFonts w:ascii="宋体" w:hAnsi="宋体"/>
          <w:b/>
          <w:sz w:val="24"/>
        </w:rPr>
      </w:pPr>
      <w:r>
        <w:rPr>
          <w:rStyle w:val="27"/>
          <w:rFonts w:ascii="宋体" w:hAnsi="宋体"/>
          <w:b/>
          <w:sz w:val="24"/>
        </w:rPr>
        <w:t>一、项目概述</w:t>
      </w:r>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9"/>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657"/>
        <w:gridCol w:w="2093"/>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采购标的</w:t>
            </w:r>
          </w:p>
        </w:tc>
        <w:tc>
          <w:tcPr>
            <w:tcW w:w="1657"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int="eastAsia" w:hAnsi="宋体"/>
                <w:b/>
                <w:spacing w:val="-17"/>
                <w:sz w:val="24"/>
              </w:rPr>
              <w:t>数量</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lang w:eastAsia="zh-CN"/>
              </w:rPr>
              <w:t>电工技能等级鉴定考证培训耗材采购项目</w:t>
            </w: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1批</w:t>
            </w:r>
          </w:p>
        </w:tc>
        <w:tc>
          <w:tcPr>
            <w:tcW w:w="209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Fonts w:hint="eastAsia" w:ascii="宋体" w:hAnsi="宋体" w:cs="宋体"/>
                <w:spacing w:val="-11"/>
                <w:sz w:val="24"/>
                <w:lang w:val="en-US" w:eastAsia="zh-CN"/>
              </w:rPr>
              <w:t>22186</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spacing w:val="-11"/>
                <w:sz w:val="24"/>
                <w:lang w:val="en-US" w:eastAsia="zh-CN"/>
              </w:rPr>
            </w:pPr>
            <w:r>
              <w:rPr>
                <w:rStyle w:val="27"/>
                <w:rFonts w:hint="eastAsia" w:ascii="宋体" w:hAnsi="宋体"/>
                <w:spacing w:val="-11"/>
                <w:sz w:val="24"/>
                <w:lang w:val="en-US" w:eastAsia="zh-CN"/>
              </w:rPr>
              <w:t>220</w:t>
            </w:r>
          </w:p>
        </w:tc>
      </w:tr>
    </w:tbl>
    <w:p>
      <w:pPr>
        <w:spacing w:line="440" w:lineRule="exact"/>
        <w:rPr>
          <w:rFonts w:hint="eastAsia" w:ascii="宋体" w:hAnsi="宋体"/>
          <w:b/>
          <w:bCs/>
          <w:sz w:val="24"/>
          <w:u w:val="none"/>
        </w:rPr>
      </w:pPr>
      <w:r>
        <w:rPr>
          <w:rFonts w:hint="eastAsia" w:ascii="宋体" w:hAnsi="宋体"/>
          <w:b/>
          <w:bCs/>
          <w:sz w:val="24"/>
        </w:rPr>
        <w:t>注：</w:t>
      </w:r>
      <w:r>
        <w:rPr>
          <w:rFonts w:hint="eastAsia" w:ascii="宋体" w:hAnsi="宋体"/>
          <w:b/>
          <w:bCs/>
          <w:sz w:val="24"/>
          <w:u w:val="none"/>
        </w:rPr>
        <w:t>以上项目所列价格为采购预算的最高限价,供应商</w:t>
      </w:r>
      <w:r>
        <w:rPr>
          <w:rFonts w:ascii="宋体" w:hAnsi="宋体"/>
          <w:b/>
          <w:bCs/>
          <w:sz w:val="24"/>
          <w:u w:val="none"/>
        </w:rPr>
        <w:t>报价总价必须低于最高限价的3%（不含）以上，报价单价不能超过竞价文件的单价最高限价，否则，视为无效报价</w:t>
      </w:r>
      <w:r>
        <w:rPr>
          <w:rFonts w:hint="eastAsia" w:ascii="宋体" w:hAnsi="宋体"/>
          <w:b/>
          <w:bCs/>
          <w:sz w:val="24"/>
          <w:u w:val="none"/>
        </w:rPr>
        <w:t>。</w:t>
      </w:r>
    </w:p>
    <w:p>
      <w:pPr>
        <w:numPr>
          <w:ilvl w:val="0"/>
          <w:numId w:val="3"/>
        </w:numPr>
        <w:spacing w:line="360" w:lineRule="auto"/>
        <w:rPr>
          <w:rFonts w:hint="eastAsia" w:ascii="宋体" w:hAnsi="宋体" w:cs="宋体"/>
          <w:b/>
          <w:bCs/>
          <w:sz w:val="24"/>
        </w:rPr>
      </w:pPr>
      <w:r>
        <w:rPr>
          <w:rFonts w:hint="eastAsia" w:ascii="宋体" w:hAnsi="宋体" w:cs="宋体"/>
          <w:b/>
          <w:bCs/>
          <w:sz w:val="24"/>
        </w:rPr>
        <w:t>技术参数及商务条款</w:t>
      </w:r>
    </w:p>
    <w:tbl>
      <w:tblPr>
        <w:tblStyle w:val="19"/>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259"/>
        <w:gridCol w:w="3510"/>
        <w:gridCol w:w="738"/>
        <w:gridCol w:w="88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产品</w:t>
            </w:r>
            <w:r>
              <w:rPr>
                <w:rFonts w:hint="eastAsia" w:ascii="宋体" w:hAnsi="宋体" w:eastAsia="宋体" w:cs="宋体"/>
                <w:b/>
                <w:bCs/>
                <w:i w:val="0"/>
                <w:iCs w:val="0"/>
                <w:color w:val="000000"/>
                <w:kern w:val="0"/>
                <w:sz w:val="24"/>
                <w:szCs w:val="24"/>
                <w:u w:val="none"/>
                <w:lang w:val="en-US" w:eastAsia="zh-CN" w:bidi="ar"/>
              </w:rPr>
              <w:t>名称</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技术参数要求</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5" w:type="pct"/>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最高限价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多股软芯电线（红色）</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w:t>
            </w:r>
            <w:r>
              <w:rPr>
                <w:rStyle w:val="80"/>
                <w:rFonts w:hint="eastAsia" w:ascii="宋体" w:hAnsi="宋体" w:eastAsia="宋体" w:cs="宋体"/>
                <w:sz w:val="24"/>
                <w:szCs w:val="24"/>
                <w:lang w:val="en-US" w:eastAsia="zh-CN" w:bidi="ar"/>
              </w:rPr>
              <w:t>电线</w:t>
            </w:r>
            <w:r>
              <w:rPr>
                <w:rStyle w:val="81"/>
                <w:rFonts w:hint="eastAsia" w:ascii="宋体" w:hAnsi="宋体" w:eastAsia="宋体" w:cs="宋体"/>
                <w:sz w:val="24"/>
                <w:szCs w:val="24"/>
                <w:lang w:val="en-US" w:eastAsia="zh-CN" w:bidi="ar"/>
              </w:rPr>
              <w:t xml:space="preserve"> 0.5平方 </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多股软芯电线（黑色）</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w:t>
            </w:r>
            <w:r>
              <w:rPr>
                <w:rStyle w:val="80"/>
                <w:rFonts w:hint="eastAsia" w:ascii="宋体" w:hAnsi="宋体" w:eastAsia="宋体" w:cs="宋体"/>
                <w:sz w:val="24"/>
                <w:szCs w:val="24"/>
                <w:lang w:val="en-US" w:eastAsia="zh-CN" w:bidi="ar"/>
              </w:rPr>
              <w:t>电线</w:t>
            </w:r>
            <w:r>
              <w:rPr>
                <w:rStyle w:val="81"/>
                <w:rFonts w:hint="eastAsia" w:ascii="宋体" w:hAnsi="宋体" w:eastAsia="宋体" w:cs="宋体"/>
                <w:sz w:val="24"/>
                <w:szCs w:val="24"/>
                <w:lang w:val="en-US" w:eastAsia="zh-CN" w:bidi="ar"/>
              </w:rPr>
              <w:t xml:space="preserve"> 0.5平方 </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多股软芯电线（蓝色）</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w:t>
            </w:r>
            <w:r>
              <w:rPr>
                <w:rStyle w:val="80"/>
                <w:rFonts w:hint="eastAsia" w:ascii="宋体" w:hAnsi="宋体" w:eastAsia="宋体" w:cs="宋体"/>
                <w:sz w:val="24"/>
                <w:szCs w:val="24"/>
                <w:lang w:val="en-US" w:eastAsia="zh-CN" w:bidi="ar"/>
              </w:rPr>
              <w:t>电线</w:t>
            </w:r>
            <w:r>
              <w:rPr>
                <w:rStyle w:val="81"/>
                <w:rFonts w:hint="eastAsia" w:ascii="宋体" w:hAnsi="宋体" w:eastAsia="宋体" w:cs="宋体"/>
                <w:sz w:val="24"/>
                <w:szCs w:val="24"/>
                <w:lang w:val="en-US" w:eastAsia="zh-CN" w:bidi="ar"/>
              </w:rPr>
              <w:t xml:space="preserve"> 0.5平方 </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电工实训 电源箱</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0"/>
                <w:rFonts w:hint="eastAsia" w:ascii="宋体" w:hAnsi="宋体" w:eastAsia="宋体" w:cs="宋体"/>
                <w:sz w:val="24"/>
                <w:szCs w:val="24"/>
                <w:lang w:val="en-US" w:eastAsia="zh-CN" w:bidi="ar"/>
              </w:rPr>
              <w:t>电</w:t>
            </w:r>
            <w:r>
              <w:rPr>
                <w:rStyle w:val="81"/>
                <w:rFonts w:hint="eastAsia" w:ascii="宋体" w:hAnsi="宋体" w:eastAsia="宋体" w:cs="宋体"/>
                <w:sz w:val="24"/>
                <w:szCs w:val="24"/>
                <w:lang w:val="en-US" w:eastAsia="zh-CN" w:bidi="ar"/>
              </w:rPr>
              <w:t>工</w:t>
            </w:r>
            <w:r>
              <w:rPr>
                <w:rStyle w:val="80"/>
                <w:rFonts w:hint="eastAsia" w:ascii="宋体" w:hAnsi="宋体" w:eastAsia="宋体" w:cs="宋体"/>
                <w:sz w:val="24"/>
                <w:szCs w:val="24"/>
                <w:lang w:val="en-US" w:eastAsia="zh-CN" w:bidi="ar"/>
              </w:rPr>
              <w:t>实训</w:t>
            </w:r>
            <w:r>
              <w:rPr>
                <w:rStyle w:val="81"/>
                <w:rFonts w:hint="eastAsia" w:ascii="宋体" w:hAnsi="宋体" w:eastAsia="宋体" w:cs="宋体"/>
                <w:sz w:val="24"/>
                <w:szCs w:val="24"/>
                <w:lang w:val="en-US" w:eastAsia="zh-CN" w:bidi="ar"/>
              </w:rPr>
              <w:t xml:space="preserve"> </w:t>
            </w:r>
            <w:r>
              <w:rPr>
                <w:rStyle w:val="80"/>
                <w:rFonts w:hint="eastAsia" w:ascii="宋体" w:hAnsi="宋体" w:eastAsia="宋体" w:cs="宋体"/>
                <w:sz w:val="24"/>
                <w:szCs w:val="24"/>
                <w:lang w:val="en-US" w:eastAsia="zh-CN" w:bidi="ar"/>
              </w:rPr>
              <w:t>电</w:t>
            </w:r>
            <w:r>
              <w:rPr>
                <w:rStyle w:val="81"/>
                <w:rFonts w:hint="eastAsia" w:ascii="宋体" w:hAnsi="宋体" w:eastAsia="宋体" w:cs="宋体"/>
                <w:sz w:val="24"/>
                <w:szCs w:val="24"/>
                <w:lang w:val="en-US" w:eastAsia="zh-CN" w:bidi="ar"/>
              </w:rPr>
              <w:t>源箱（</w:t>
            </w:r>
            <w:r>
              <w:rPr>
                <w:rStyle w:val="80"/>
                <w:rFonts w:hint="eastAsia" w:ascii="宋体" w:hAnsi="宋体" w:eastAsia="宋体" w:cs="宋体"/>
                <w:sz w:val="24"/>
                <w:szCs w:val="24"/>
                <w:lang w:val="en-US" w:eastAsia="zh-CN" w:bidi="ar"/>
              </w:rPr>
              <w:t>单</w:t>
            </w:r>
            <w:r>
              <w:rPr>
                <w:rStyle w:val="81"/>
                <w:rFonts w:hint="eastAsia" w:ascii="宋体" w:hAnsi="宋体" w:eastAsia="宋体" w:cs="宋体"/>
                <w:sz w:val="24"/>
                <w:szCs w:val="24"/>
                <w:lang w:val="en-US" w:eastAsia="zh-CN" w:bidi="ar"/>
              </w:rPr>
              <w:t>工位），带有总电源开关，急停和电源开关按钮，电源输出模块有三相电源和单相电源并做好插孔，配有</w:t>
            </w:r>
            <w:r>
              <w:rPr>
                <w:rStyle w:val="80"/>
                <w:rFonts w:hint="eastAsia" w:ascii="宋体" w:hAnsi="宋体" w:eastAsia="宋体" w:cs="宋体"/>
                <w:sz w:val="24"/>
                <w:szCs w:val="24"/>
                <w:lang w:val="en-US" w:eastAsia="zh-CN" w:bidi="ar"/>
              </w:rPr>
              <w:t>380V和220V电源插座并带有启停按钮</w:t>
            </w:r>
            <w:r>
              <w:rPr>
                <w:rStyle w:val="81"/>
                <w:rFonts w:hint="eastAsia" w:ascii="宋体" w:hAnsi="宋体" w:eastAsia="宋体" w:cs="宋体"/>
                <w:sz w:val="24"/>
                <w:szCs w:val="24"/>
                <w:lang w:val="en-US" w:eastAsia="zh-CN" w:bidi="ar"/>
              </w:rPr>
              <w:t>，设备布局和功能需满足电工考证使用。</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万用表</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UT89X，智能双防</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螺丝刀双头</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6.35*100mm，刀头硬度HRC54-HRC58,采用高透明彩条塑胶手柄，杆头采用铬钒钢制造</w:t>
            </w:r>
            <w:r>
              <w:rPr>
                <w:rFonts w:hint="eastAsia" w:ascii="宋体" w:hAnsi="宋体" w:cs="宋体"/>
                <w:i w:val="0"/>
                <w:iCs w:val="0"/>
                <w:color w:val="000000"/>
                <w:kern w:val="0"/>
                <w:sz w:val="24"/>
                <w:szCs w:val="24"/>
                <w:u w:val="none"/>
                <w:lang w:val="en-US" w:eastAsia="zh-CN" w:bidi="ar"/>
              </w:rPr>
              <w:t>。</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剥线直径：0.6-2.6</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低压验电器</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XZD-6128</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4mm 香蕉插头</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4mm 香蕉插头</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三相鼠笼式异步电动机</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180W，380V</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多层板</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电工专业实训板，长*宽*高 500*500*120mm</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双闭环调速控制板</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双闭环调速控制板需满足学校开展电工考证培训使用，控制板内容需与福州市电工考证的考核内容一致，控制板上元器件安装好，可以自由设置故障使用。</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BK单相控制隔离变压器</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BK25VA,220V转变6V12V24V36V机床控制纯铜</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电子组装套件</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包含33-51电阻（≥4个），1N4148（≥2个），按键（≥1个），喇叭导线（≥1套），103电容（≥2个），10/22uF(≥1个），100/220uF(≥1个），NE555芯片（≥1个),DIP座（≥1个），电路板（≥1个），说明书（≥1个)。</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BT33F单结晶体管晶闸管可控硅 调光台灯电路模块</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220V套件散件+灯泡+座子，含线,含说明书。散件包含：43K-56K</w:t>
            </w:r>
            <w:r>
              <w:rPr>
                <w:rStyle w:val="82"/>
                <w:rFonts w:hint="eastAsia" w:ascii="宋体" w:hAnsi="宋体" w:eastAsia="宋体" w:cs="宋体"/>
                <w:sz w:val="24"/>
                <w:szCs w:val="24"/>
                <w:lang w:val="en-US" w:eastAsia="zh-CN" w:bidi="ar"/>
              </w:rPr>
              <w:t>Ω</w:t>
            </w:r>
            <w:r>
              <w:rPr>
                <w:rStyle w:val="80"/>
                <w:rFonts w:hint="eastAsia" w:ascii="宋体" w:hAnsi="宋体" w:eastAsia="宋体" w:cs="宋体"/>
                <w:sz w:val="24"/>
                <w:szCs w:val="24"/>
                <w:lang w:val="en-US" w:eastAsia="zh-CN" w:bidi="ar"/>
              </w:rPr>
              <w:t>电阻（</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1个），470-2K</w:t>
            </w:r>
            <w:r>
              <w:rPr>
                <w:rStyle w:val="82"/>
                <w:rFonts w:hint="eastAsia" w:ascii="宋体" w:hAnsi="宋体" w:eastAsia="宋体" w:cs="宋体"/>
                <w:sz w:val="24"/>
                <w:szCs w:val="24"/>
                <w:lang w:val="en-US" w:eastAsia="zh-CN" w:bidi="ar"/>
              </w:rPr>
              <w:t>Ω</w:t>
            </w:r>
            <w:r>
              <w:rPr>
                <w:rStyle w:val="80"/>
                <w:rFonts w:hint="eastAsia" w:ascii="宋体" w:hAnsi="宋体" w:eastAsia="宋体" w:cs="宋体"/>
                <w:sz w:val="24"/>
                <w:szCs w:val="24"/>
                <w:lang w:val="en-US" w:eastAsia="zh-CN" w:bidi="ar"/>
              </w:rPr>
              <w:t>电阻（</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1个），33-75</w:t>
            </w:r>
            <w:r>
              <w:rPr>
                <w:rStyle w:val="82"/>
                <w:rFonts w:hint="eastAsia" w:ascii="宋体" w:hAnsi="宋体" w:eastAsia="宋体" w:cs="宋体"/>
                <w:sz w:val="24"/>
                <w:szCs w:val="24"/>
                <w:lang w:val="en-US" w:eastAsia="zh-CN" w:bidi="ar"/>
              </w:rPr>
              <w:t>Ω</w:t>
            </w:r>
            <w:r>
              <w:rPr>
                <w:rStyle w:val="80"/>
                <w:rFonts w:hint="eastAsia" w:ascii="宋体" w:hAnsi="宋体" w:eastAsia="宋体" w:cs="宋体"/>
                <w:sz w:val="24"/>
                <w:szCs w:val="24"/>
                <w:lang w:val="en-US" w:eastAsia="zh-CN" w:bidi="ar"/>
              </w:rPr>
              <w:t>电阻（</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1个），18K-24K</w:t>
            </w:r>
            <w:r>
              <w:rPr>
                <w:rStyle w:val="82"/>
                <w:rFonts w:hint="eastAsia" w:ascii="宋体" w:hAnsi="宋体" w:eastAsia="宋体" w:cs="宋体"/>
                <w:sz w:val="24"/>
                <w:szCs w:val="24"/>
                <w:lang w:val="en-US" w:eastAsia="zh-CN" w:bidi="ar"/>
              </w:rPr>
              <w:t>Ω</w:t>
            </w:r>
            <w:r>
              <w:rPr>
                <w:rStyle w:val="80"/>
                <w:rFonts w:hint="eastAsia" w:ascii="宋体" w:hAnsi="宋体" w:eastAsia="宋体" w:cs="宋体"/>
                <w:sz w:val="24"/>
                <w:szCs w:val="24"/>
                <w:lang w:val="en-US" w:eastAsia="zh-CN" w:bidi="ar"/>
              </w:rPr>
              <w:t>电阻（</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1个），223-473电容（</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1个），1N4007 二极管（</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4个），带开关电位器（</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1个），BT33单结晶体管（</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1个），可控硅（</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1个），接线柱（</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1个），电路板（</w:t>
            </w:r>
            <w:r>
              <w:rPr>
                <w:rFonts w:hint="eastAsia" w:ascii="宋体" w:hAnsi="宋体" w:eastAsia="宋体" w:cs="宋体"/>
                <w:i w:val="0"/>
                <w:iCs w:val="0"/>
                <w:color w:val="000000"/>
                <w:kern w:val="0"/>
                <w:sz w:val="24"/>
                <w:szCs w:val="24"/>
                <w:u w:val="none"/>
                <w:lang w:val="en-US" w:eastAsia="zh-CN" w:bidi="ar"/>
              </w:rPr>
              <w:t>≥</w:t>
            </w:r>
            <w:r>
              <w:rPr>
                <w:rStyle w:val="80"/>
                <w:rFonts w:hint="eastAsia" w:ascii="宋体" w:hAnsi="宋体" w:eastAsia="宋体" w:cs="宋体"/>
                <w:sz w:val="24"/>
                <w:szCs w:val="24"/>
                <w:lang w:val="en-US" w:eastAsia="zh-CN" w:bidi="ar"/>
              </w:rPr>
              <w:t>1个）。</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公牛二脚插头 10a</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GNT-10L1S(10A 两脚)</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明装e27螺口灯座</w:t>
            </w:r>
          </w:p>
        </w:tc>
        <w:tc>
          <w:tcPr>
            <w:tcW w:w="17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明装灯座</w:t>
            </w:r>
          </w:p>
        </w:tc>
        <w:tc>
          <w:tcPr>
            <w:tcW w:w="3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6"/>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注：所有规格、尺寸为固定值的（指未标注范围值或偏离值），均允许误差±2%。</w:t>
            </w:r>
          </w:p>
        </w:tc>
      </w:tr>
    </w:tbl>
    <w:p>
      <w:pPr>
        <w:numPr>
          <w:ilvl w:val="0"/>
          <w:numId w:val="0"/>
        </w:numPr>
        <w:spacing w:line="360" w:lineRule="auto"/>
        <w:rPr>
          <w:rFonts w:hint="eastAsia" w:ascii="宋体" w:hAnsi="宋体" w:cs="宋体"/>
          <w:b/>
          <w:bCs/>
          <w:sz w:val="24"/>
        </w:rPr>
      </w:pPr>
    </w:p>
    <w:p>
      <w:pPr>
        <w:spacing w:line="360" w:lineRule="auto"/>
        <w:ind w:firstLine="480" w:firstLineChars="200"/>
        <w:rPr>
          <w:rStyle w:val="27"/>
          <w:rFonts w:ascii="宋体" w:hAnsi="宋体"/>
          <w:b/>
          <w:bCs/>
          <w:sz w:val="24"/>
        </w:rPr>
      </w:pPr>
      <w:r>
        <w:rPr>
          <w:rStyle w:val="27"/>
          <w:rFonts w:hint="eastAsia" w:ascii="宋体" w:hAnsi="宋体"/>
          <w:b/>
          <w:bCs/>
          <w:sz w:val="24"/>
        </w:rPr>
        <w:t>2.交货日期：</w:t>
      </w:r>
      <w:r>
        <w:rPr>
          <w:rFonts w:hint="eastAsia" w:ascii="宋体" w:hAnsi="宋体" w:cs="宋体"/>
          <w:color w:val="auto"/>
          <w:sz w:val="24"/>
          <w:szCs w:val="24"/>
          <w:u w:val="none"/>
        </w:rPr>
        <w:t>领取成交通知后30天内完成交货</w:t>
      </w:r>
      <w:r>
        <w:rPr>
          <w:rStyle w:val="27"/>
          <w:rFonts w:hint="eastAsia" w:ascii="宋体" w:hAnsi="宋体"/>
          <w:sz w:val="24"/>
        </w:rPr>
        <w:t>。</w:t>
      </w:r>
    </w:p>
    <w:p>
      <w:pPr>
        <w:spacing w:line="360" w:lineRule="auto"/>
        <w:ind w:firstLine="480" w:firstLineChars="200"/>
        <w:rPr>
          <w:rFonts w:hint="eastAsia" w:ascii="宋体" w:hAnsi="宋体" w:eastAsia="宋体" w:cs="宋体"/>
          <w:sz w:val="24"/>
          <w:lang w:eastAsia="zh-CN"/>
        </w:rPr>
      </w:pPr>
      <w:r>
        <w:rPr>
          <w:rStyle w:val="27"/>
          <w:rFonts w:hint="eastAsia" w:ascii="宋体" w:hAnsi="宋体"/>
          <w:b/>
          <w:bCs/>
          <w:sz w:val="24"/>
        </w:rPr>
        <w:t>3.交货地点：</w:t>
      </w:r>
      <w:r>
        <w:rPr>
          <w:rStyle w:val="27"/>
          <w:rFonts w:hint="eastAsia" w:ascii="宋体" w:hAnsi="宋体"/>
          <w:b w:val="0"/>
          <w:bCs w:val="0"/>
          <w:sz w:val="24"/>
          <w:lang w:eastAsia="zh-CN"/>
        </w:rPr>
        <w:t>采购人指定地点。</w:t>
      </w:r>
    </w:p>
    <w:p>
      <w:pPr>
        <w:spacing w:line="440" w:lineRule="exact"/>
        <w:ind w:firstLine="480" w:firstLineChars="200"/>
        <w:rPr>
          <w:rStyle w:val="27"/>
          <w:rFonts w:ascii="宋体" w:hAnsi="宋体"/>
          <w:sz w:val="24"/>
        </w:rPr>
      </w:pPr>
      <w:r>
        <w:rPr>
          <w:rStyle w:val="27"/>
          <w:rFonts w:hint="eastAsia" w:ascii="宋体" w:hAnsi="宋体"/>
          <w:b/>
          <w:bCs/>
          <w:sz w:val="24"/>
        </w:rPr>
        <w:t>4.付款方式：</w:t>
      </w:r>
      <w:r>
        <w:rPr>
          <w:rStyle w:val="27"/>
          <w:rFonts w:hint="eastAsia" w:ascii="宋体" w:hAnsi="宋体"/>
          <w:b w:val="0"/>
          <w:bCs w:val="0"/>
          <w:sz w:val="24"/>
        </w:rPr>
        <w:t>全部货物完成交货，经验收合格，15个工作日内采购人凭收讫货物的验收凭证和货物验收合格文件等材料以转账方式向供应商一次性支付100%的货物价款。</w:t>
      </w:r>
    </w:p>
    <w:p>
      <w:pPr>
        <w:pStyle w:val="8"/>
        <w:spacing w:line="440" w:lineRule="exact"/>
        <w:ind w:firstLine="480" w:firstLineChars="200"/>
        <w:rPr>
          <w:rStyle w:val="27"/>
          <w:rFonts w:hint="eastAsia" w:ascii="宋体" w:hAnsi="宋体"/>
          <w:b/>
          <w:bCs/>
          <w:sz w:val="24"/>
        </w:rPr>
      </w:pPr>
      <w:r>
        <w:rPr>
          <w:rFonts w:hint="eastAsia" w:ascii="宋体" w:hAnsi="宋体"/>
          <w:b/>
          <w:bCs/>
          <w:sz w:val="24"/>
          <w:lang w:val="en-US" w:eastAsia="zh-CN"/>
        </w:rPr>
        <w:t>5</w:t>
      </w:r>
      <w:r>
        <w:rPr>
          <w:rFonts w:hint="eastAsia" w:ascii="宋体" w:hAnsi="宋体"/>
          <w:b/>
          <w:bCs/>
          <w:sz w:val="24"/>
        </w:rPr>
        <w:t>.</w:t>
      </w:r>
      <w:r>
        <w:rPr>
          <w:rStyle w:val="27"/>
          <w:rFonts w:hint="eastAsia" w:ascii="宋体" w:hAnsi="宋体"/>
          <w:b/>
          <w:bCs/>
          <w:sz w:val="24"/>
        </w:rPr>
        <w:t>验收要求：</w:t>
      </w:r>
      <w:r>
        <w:rPr>
          <w:rFonts w:hint="eastAsia" w:ascii="宋体" w:hAnsi="宋体" w:cs="宋体"/>
          <w:sz w:val="24"/>
          <w:szCs w:val="24"/>
        </w:rPr>
        <w:t>采购人在收到成交人的验收申请后15 个工作日内，采购人和成交人共同进行设备的验收。采购人将按照技术、服务、安全标准组织对成交人履约情况进行验收，并出具验收书。验收过程中，若发现货物质量有问题成交人应无条件于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pStyle w:val="6"/>
        <w:spacing w:line="460" w:lineRule="exact"/>
        <w:ind w:firstLine="480" w:firstLineChars="200"/>
        <w:rPr>
          <w:rFonts w:hint="eastAsia" w:ascii="宋体" w:hAnsi="宋体" w:cs="宋体"/>
          <w:sz w:val="24"/>
          <w:szCs w:val="24"/>
          <w:lang w:val="en-US" w:eastAsia="zh-CN"/>
        </w:rPr>
      </w:pPr>
      <w:r>
        <w:rPr>
          <w:rFonts w:hint="eastAsia" w:ascii="宋体" w:hAnsi="宋体" w:cs="宋体"/>
          <w:b/>
          <w:bCs/>
          <w:sz w:val="24"/>
          <w:szCs w:val="24"/>
          <w:lang w:val="en-US" w:eastAsia="zh-CN"/>
        </w:rPr>
        <w:t>6.质保期</w:t>
      </w:r>
      <w:r>
        <w:rPr>
          <w:rFonts w:hint="eastAsia" w:ascii="宋体" w:hAnsi="宋体" w:cs="宋体"/>
          <w:sz w:val="24"/>
          <w:szCs w:val="24"/>
          <w:lang w:val="en-US" w:eastAsia="zh-CN"/>
        </w:rPr>
        <w:t>：产品保质期为12个月，质保期间出现质量问题免费维修或者更换（从验收合格之日起算）。</w:t>
      </w:r>
    </w:p>
    <w:p>
      <w:pPr>
        <w:pStyle w:val="6"/>
        <w:spacing w:line="460" w:lineRule="exact"/>
        <w:ind w:firstLine="480" w:firstLineChars="200"/>
        <w:rPr>
          <w:rFonts w:hint="eastAsia" w:ascii="宋体" w:hAnsi="宋体" w:cs="宋体"/>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.违约责任</w:t>
      </w:r>
      <w:r>
        <w:rPr>
          <w:rFonts w:hint="eastAsia" w:ascii="宋体" w:hAnsi="宋体" w:cs="宋体"/>
          <w:sz w:val="24"/>
          <w:szCs w:val="24"/>
        </w:rPr>
        <w:t>：</w:t>
      </w:r>
    </w:p>
    <w:p>
      <w:pPr>
        <w:pStyle w:val="6"/>
        <w:spacing w:line="46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.1</w:t>
      </w:r>
      <w:r>
        <w:rPr>
          <w:rFonts w:hint="eastAsia" w:ascii="宋体" w:hAnsi="宋体" w:cs="宋体"/>
          <w:sz w:val="24"/>
          <w:szCs w:val="24"/>
          <w:lang w:eastAsia="zh-CN"/>
        </w:rPr>
        <w:t>采购人</w:t>
      </w:r>
      <w:r>
        <w:rPr>
          <w:rFonts w:hint="eastAsia" w:ascii="宋体" w:hAnsi="宋体" w:eastAsia="宋体" w:cs="宋体"/>
          <w:sz w:val="24"/>
          <w:szCs w:val="24"/>
        </w:rPr>
        <w:t>违约责任</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采购人</w:t>
      </w:r>
      <w:r>
        <w:rPr>
          <w:rFonts w:hint="eastAsia" w:ascii="宋体" w:hAnsi="宋体" w:eastAsia="宋体" w:cs="宋体"/>
          <w:sz w:val="24"/>
          <w:szCs w:val="24"/>
        </w:rPr>
        <w:t>无正当理由拒收</w:t>
      </w:r>
      <w:r>
        <w:rPr>
          <w:rFonts w:hint="eastAsia" w:ascii="宋体" w:hAnsi="宋体" w:cs="宋体"/>
          <w:sz w:val="24"/>
          <w:szCs w:val="24"/>
          <w:lang w:eastAsia="zh-CN"/>
        </w:rPr>
        <w:t>成交人</w:t>
      </w:r>
      <w:r>
        <w:rPr>
          <w:rFonts w:hint="eastAsia" w:ascii="宋体" w:hAnsi="宋体" w:eastAsia="宋体" w:cs="宋体"/>
          <w:sz w:val="24"/>
          <w:szCs w:val="24"/>
        </w:rPr>
        <w:t>交付的合格产品的，</w:t>
      </w:r>
      <w:r>
        <w:rPr>
          <w:rFonts w:hint="eastAsia" w:ascii="宋体" w:hAnsi="宋体" w:cs="宋体"/>
          <w:sz w:val="24"/>
          <w:szCs w:val="24"/>
          <w:lang w:eastAsia="zh-CN"/>
        </w:rPr>
        <w:t>采购人</w:t>
      </w:r>
      <w:r>
        <w:rPr>
          <w:rFonts w:hint="eastAsia" w:ascii="宋体" w:hAnsi="宋体" w:eastAsia="宋体" w:cs="宋体"/>
          <w:sz w:val="24"/>
          <w:szCs w:val="24"/>
        </w:rPr>
        <w:t>向</w:t>
      </w:r>
      <w:r>
        <w:rPr>
          <w:rFonts w:hint="eastAsia" w:ascii="宋体" w:hAnsi="宋体" w:cs="宋体"/>
          <w:sz w:val="24"/>
          <w:szCs w:val="24"/>
          <w:lang w:eastAsia="zh-CN"/>
        </w:rPr>
        <w:t>成交人</w:t>
      </w:r>
      <w:r>
        <w:rPr>
          <w:rFonts w:hint="eastAsia" w:ascii="宋体" w:hAnsi="宋体" w:eastAsia="宋体" w:cs="宋体"/>
          <w:sz w:val="24"/>
          <w:szCs w:val="24"/>
        </w:rPr>
        <w:t>偿付拒收货款总值2%的违约金</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采购人</w:t>
      </w:r>
      <w:r>
        <w:rPr>
          <w:rFonts w:hint="eastAsia" w:ascii="宋体" w:hAnsi="宋体" w:eastAsia="宋体" w:cs="宋体"/>
          <w:sz w:val="24"/>
          <w:szCs w:val="24"/>
        </w:rPr>
        <w:t>无故逾期验收和办理合同款项支付手续的,</w:t>
      </w:r>
      <w:r>
        <w:rPr>
          <w:rFonts w:hint="eastAsia" w:ascii="宋体" w:hAnsi="宋体" w:cs="宋体"/>
          <w:sz w:val="24"/>
          <w:szCs w:val="24"/>
          <w:lang w:eastAsia="zh-CN"/>
        </w:rPr>
        <w:t>采购人</w:t>
      </w:r>
      <w:r>
        <w:rPr>
          <w:rFonts w:hint="eastAsia" w:ascii="宋体" w:hAnsi="宋体" w:eastAsia="宋体" w:cs="宋体"/>
          <w:sz w:val="24"/>
          <w:szCs w:val="24"/>
        </w:rPr>
        <w:t>应按逾期付款总额每日0.5%向</w:t>
      </w:r>
      <w:r>
        <w:rPr>
          <w:rFonts w:hint="eastAsia" w:ascii="宋体" w:hAnsi="宋体" w:cs="宋体"/>
          <w:sz w:val="24"/>
          <w:szCs w:val="24"/>
          <w:lang w:eastAsia="zh-CN"/>
        </w:rPr>
        <w:t>成交人</w:t>
      </w:r>
      <w:r>
        <w:rPr>
          <w:rFonts w:hint="eastAsia" w:ascii="宋体" w:hAnsi="宋体" w:eastAsia="宋体" w:cs="宋体"/>
          <w:sz w:val="24"/>
          <w:szCs w:val="24"/>
        </w:rPr>
        <w:t>支付违约金。</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（3）其他违约情形</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无。</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cs="宋体"/>
          <w:sz w:val="24"/>
          <w:szCs w:val="24"/>
          <w:lang w:eastAsia="zh-CN"/>
        </w:rPr>
        <w:t>成交人</w:t>
      </w:r>
      <w:r>
        <w:rPr>
          <w:rFonts w:hint="eastAsia" w:ascii="宋体" w:hAnsi="宋体" w:eastAsia="宋体" w:cs="宋体"/>
          <w:sz w:val="24"/>
          <w:szCs w:val="24"/>
        </w:rPr>
        <w:t>违约责任</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成交人</w:t>
      </w:r>
      <w:r>
        <w:rPr>
          <w:rFonts w:hint="eastAsia" w:ascii="宋体" w:hAnsi="宋体" w:eastAsia="宋体" w:cs="宋体"/>
          <w:sz w:val="24"/>
          <w:szCs w:val="24"/>
        </w:rPr>
        <w:t>逾期履行服务的，</w:t>
      </w:r>
      <w:r>
        <w:rPr>
          <w:rFonts w:hint="eastAsia" w:ascii="宋体" w:hAnsi="宋体" w:cs="宋体"/>
          <w:sz w:val="24"/>
          <w:szCs w:val="24"/>
          <w:lang w:eastAsia="zh-CN"/>
        </w:rPr>
        <w:t>成交人</w:t>
      </w:r>
      <w:r>
        <w:rPr>
          <w:rFonts w:hint="eastAsia" w:ascii="宋体" w:hAnsi="宋体" w:eastAsia="宋体" w:cs="宋体"/>
          <w:sz w:val="24"/>
          <w:szCs w:val="24"/>
        </w:rPr>
        <w:t>应按逾期交付总额每日2%向</w:t>
      </w:r>
      <w:r>
        <w:rPr>
          <w:rFonts w:hint="eastAsia" w:ascii="宋体" w:hAnsi="宋体" w:cs="宋体"/>
          <w:sz w:val="24"/>
          <w:szCs w:val="24"/>
          <w:lang w:eastAsia="zh-CN"/>
        </w:rPr>
        <w:t>采购人</w:t>
      </w:r>
      <w:r>
        <w:rPr>
          <w:rFonts w:hint="eastAsia" w:ascii="宋体" w:hAnsi="宋体" w:eastAsia="宋体" w:cs="宋体"/>
          <w:sz w:val="24"/>
          <w:szCs w:val="24"/>
        </w:rPr>
        <w:t>支付违约金，由</w:t>
      </w:r>
      <w:r>
        <w:rPr>
          <w:rFonts w:hint="eastAsia" w:ascii="宋体" w:hAnsi="宋体" w:cs="宋体"/>
          <w:sz w:val="24"/>
          <w:szCs w:val="24"/>
          <w:lang w:eastAsia="zh-CN"/>
        </w:rPr>
        <w:t>采购人</w:t>
      </w:r>
      <w:r>
        <w:rPr>
          <w:rFonts w:hint="eastAsia" w:ascii="宋体" w:hAnsi="宋体" w:eastAsia="宋体" w:cs="宋体"/>
          <w:sz w:val="24"/>
          <w:szCs w:val="24"/>
        </w:rPr>
        <w:t>从待付货款中扣除。</w:t>
      </w:r>
      <w:r>
        <w:rPr>
          <w:rFonts w:hint="eastAsia" w:ascii="宋体" w:hAnsi="宋体" w:cs="宋体"/>
          <w:sz w:val="24"/>
          <w:szCs w:val="24"/>
          <w:lang w:eastAsia="zh-CN"/>
        </w:rPr>
        <w:t>成交人</w:t>
      </w:r>
      <w:r>
        <w:rPr>
          <w:rFonts w:hint="eastAsia" w:ascii="宋体" w:hAnsi="宋体" w:eastAsia="宋体" w:cs="宋体"/>
          <w:sz w:val="24"/>
          <w:szCs w:val="24"/>
        </w:rPr>
        <w:t>无正当理由逾期超过约定日期30天仍不能交付的，视为“</w:t>
      </w:r>
      <w:r>
        <w:rPr>
          <w:rFonts w:hint="eastAsia" w:ascii="宋体" w:hAnsi="宋体" w:cs="宋体"/>
          <w:sz w:val="24"/>
          <w:szCs w:val="24"/>
          <w:lang w:eastAsia="zh-CN"/>
        </w:rPr>
        <w:t>成交人</w:t>
      </w:r>
      <w:r>
        <w:rPr>
          <w:rFonts w:hint="eastAsia" w:ascii="宋体" w:hAnsi="宋体" w:eastAsia="宋体" w:cs="宋体"/>
          <w:sz w:val="24"/>
          <w:szCs w:val="24"/>
        </w:rPr>
        <w:t xml:space="preserve">不按合同约定履约”； </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成交人</w:t>
      </w:r>
      <w:r>
        <w:rPr>
          <w:rFonts w:hint="eastAsia" w:ascii="宋体" w:hAnsi="宋体" w:eastAsia="宋体" w:cs="宋体"/>
          <w:sz w:val="24"/>
          <w:szCs w:val="24"/>
        </w:rPr>
        <w:t>所交付的产品不符合合同规定及《采购文件》规定标准的，</w:t>
      </w:r>
      <w:r>
        <w:rPr>
          <w:rFonts w:hint="eastAsia" w:ascii="宋体" w:hAnsi="宋体" w:cs="宋体"/>
          <w:sz w:val="24"/>
          <w:szCs w:val="24"/>
          <w:lang w:eastAsia="zh-CN"/>
        </w:rPr>
        <w:t>采购人</w:t>
      </w:r>
      <w:r>
        <w:rPr>
          <w:rFonts w:hint="eastAsia" w:ascii="宋体" w:hAnsi="宋体" w:eastAsia="宋体" w:cs="宋体"/>
          <w:sz w:val="24"/>
          <w:szCs w:val="24"/>
        </w:rPr>
        <w:t>有权拒收，</w:t>
      </w:r>
      <w:r>
        <w:rPr>
          <w:rFonts w:hint="eastAsia" w:ascii="宋体" w:hAnsi="宋体" w:cs="宋体"/>
          <w:sz w:val="24"/>
          <w:szCs w:val="24"/>
          <w:lang w:eastAsia="zh-CN"/>
        </w:rPr>
        <w:t>成交人</w:t>
      </w:r>
      <w:r>
        <w:rPr>
          <w:rFonts w:hint="eastAsia" w:ascii="宋体" w:hAnsi="宋体" w:eastAsia="宋体" w:cs="宋体"/>
          <w:sz w:val="24"/>
          <w:szCs w:val="24"/>
        </w:rPr>
        <w:t>愿意更换产品但逾期交货的，按</w:t>
      </w:r>
      <w:r>
        <w:rPr>
          <w:rFonts w:hint="eastAsia" w:ascii="宋体" w:hAnsi="宋体" w:cs="宋体"/>
          <w:sz w:val="24"/>
          <w:szCs w:val="24"/>
          <w:lang w:eastAsia="zh-CN"/>
        </w:rPr>
        <w:t>成交人</w:t>
      </w:r>
      <w:r>
        <w:rPr>
          <w:rFonts w:hint="eastAsia" w:ascii="宋体" w:hAnsi="宋体" w:eastAsia="宋体" w:cs="宋体"/>
          <w:sz w:val="24"/>
          <w:szCs w:val="24"/>
        </w:rPr>
        <w:t>逾期交货处理。</w:t>
      </w:r>
      <w:r>
        <w:rPr>
          <w:rFonts w:hint="eastAsia" w:ascii="宋体" w:hAnsi="宋体" w:cs="宋体"/>
          <w:sz w:val="24"/>
          <w:szCs w:val="24"/>
          <w:lang w:eastAsia="zh-CN"/>
        </w:rPr>
        <w:t>成交人</w:t>
      </w:r>
      <w:r>
        <w:rPr>
          <w:rFonts w:hint="eastAsia" w:ascii="宋体" w:hAnsi="宋体" w:eastAsia="宋体" w:cs="宋体"/>
          <w:sz w:val="24"/>
          <w:szCs w:val="24"/>
        </w:rPr>
        <w:t>拒绝更换产品的，视为“</w:t>
      </w:r>
      <w:r>
        <w:rPr>
          <w:rFonts w:hint="eastAsia" w:ascii="宋体" w:hAnsi="宋体" w:cs="宋体"/>
          <w:sz w:val="24"/>
          <w:szCs w:val="24"/>
          <w:lang w:eastAsia="zh-CN"/>
        </w:rPr>
        <w:t>成交人</w:t>
      </w:r>
      <w:r>
        <w:rPr>
          <w:rFonts w:hint="eastAsia" w:ascii="宋体" w:hAnsi="宋体" w:eastAsia="宋体" w:cs="宋体"/>
          <w:sz w:val="24"/>
          <w:szCs w:val="24"/>
        </w:rPr>
        <w:t>不按合同约定履约”；</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成交人</w:t>
      </w:r>
      <w:r>
        <w:rPr>
          <w:rFonts w:hint="eastAsia" w:ascii="宋体" w:hAnsi="宋体" w:eastAsia="宋体" w:cs="宋体"/>
          <w:sz w:val="24"/>
          <w:szCs w:val="24"/>
        </w:rPr>
        <w:t>不按合同约定履约的，</w:t>
      </w:r>
      <w:r>
        <w:rPr>
          <w:rFonts w:hint="eastAsia" w:ascii="宋体" w:hAnsi="宋体" w:cs="宋体"/>
          <w:sz w:val="24"/>
          <w:szCs w:val="24"/>
          <w:lang w:eastAsia="zh-CN"/>
        </w:rPr>
        <w:t>采购人</w:t>
      </w:r>
      <w:r>
        <w:rPr>
          <w:rFonts w:hint="eastAsia" w:ascii="宋体" w:hAnsi="宋体" w:eastAsia="宋体" w:cs="宋体"/>
          <w:sz w:val="24"/>
          <w:szCs w:val="24"/>
        </w:rPr>
        <w:t>可以解除采购合同，并对</w:t>
      </w:r>
      <w:r>
        <w:rPr>
          <w:rFonts w:hint="eastAsia" w:ascii="宋体" w:hAnsi="宋体" w:cs="宋体"/>
          <w:sz w:val="24"/>
          <w:szCs w:val="24"/>
          <w:lang w:eastAsia="zh-CN"/>
        </w:rPr>
        <w:t>成交人</w:t>
      </w:r>
      <w:r>
        <w:rPr>
          <w:rFonts w:hint="eastAsia" w:ascii="宋体" w:hAnsi="宋体" w:eastAsia="宋体" w:cs="宋体"/>
          <w:sz w:val="24"/>
          <w:szCs w:val="24"/>
        </w:rPr>
        <w:t>已缴纳的履约保证金作“不予退还”处理。同时，</w:t>
      </w:r>
      <w:r>
        <w:rPr>
          <w:rFonts w:hint="eastAsia" w:ascii="宋体" w:hAnsi="宋体" w:cs="宋体"/>
          <w:sz w:val="24"/>
          <w:szCs w:val="24"/>
          <w:lang w:eastAsia="zh-CN"/>
        </w:rPr>
        <w:t>成交人</w:t>
      </w:r>
      <w:r>
        <w:rPr>
          <w:rFonts w:hint="eastAsia" w:ascii="宋体" w:hAnsi="宋体" w:eastAsia="宋体" w:cs="宋体"/>
          <w:sz w:val="24"/>
          <w:szCs w:val="24"/>
        </w:rPr>
        <w:t>还须按向</w:t>
      </w:r>
      <w:r>
        <w:rPr>
          <w:rFonts w:hint="eastAsia" w:ascii="宋体" w:hAnsi="宋体" w:cs="宋体"/>
          <w:sz w:val="24"/>
          <w:szCs w:val="24"/>
          <w:lang w:eastAsia="zh-CN"/>
        </w:rPr>
        <w:t>采购人</w:t>
      </w:r>
      <w:r>
        <w:rPr>
          <w:rFonts w:hint="eastAsia" w:ascii="宋体" w:hAnsi="宋体" w:eastAsia="宋体" w:cs="宋体"/>
          <w:sz w:val="24"/>
          <w:szCs w:val="24"/>
        </w:rPr>
        <w:t>支付违约金：违约金按成交金额的 2 ％/天计算；</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（4）其他违约情形</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1）交货不符合约定或存在缺陷的，应在5天内完成换货。逾期违约金，违约金按成交金额的 1 ％/天计算。</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2）逾期交货的赔偿、除不可抗力因素外，如果</w:t>
      </w:r>
      <w:r>
        <w:rPr>
          <w:rFonts w:hint="eastAsia" w:ascii="宋体" w:hAnsi="宋体" w:cs="宋体"/>
          <w:sz w:val="24"/>
          <w:szCs w:val="24"/>
          <w:lang w:eastAsia="zh-CN"/>
        </w:rPr>
        <w:t>成交人</w:t>
      </w:r>
      <w:r>
        <w:rPr>
          <w:rFonts w:hint="eastAsia" w:ascii="宋体" w:hAnsi="宋体" w:eastAsia="宋体" w:cs="宋体"/>
          <w:sz w:val="24"/>
          <w:szCs w:val="24"/>
        </w:rPr>
        <w:t>不能按照规定的时间交付和提供服务，应及时以书面形式将逾期的事实、可能逾期的时间和原因通知</w:t>
      </w:r>
      <w:r>
        <w:rPr>
          <w:rFonts w:hint="eastAsia" w:ascii="宋体" w:hAnsi="宋体" w:cs="宋体"/>
          <w:sz w:val="24"/>
          <w:szCs w:val="24"/>
          <w:lang w:eastAsia="zh-CN"/>
        </w:rPr>
        <w:t>采购人</w:t>
      </w:r>
      <w:r>
        <w:rPr>
          <w:rFonts w:hint="eastAsia" w:ascii="宋体" w:hAnsi="宋体" w:eastAsia="宋体" w:cs="宋体"/>
          <w:sz w:val="24"/>
          <w:szCs w:val="24"/>
        </w:rPr>
        <w:t>，如果未能按照规定的时间提供货物和提供服务的，每逾期1天，</w:t>
      </w:r>
      <w:r>
        <w:rPr>
          <w:rFonts w:hint="eastAsia" w:ascii="宋体" w:hAnsi="宋体" w:cs="宋体"/>
          <w:sz w:val="24"/>
          <w:szCs w:val="24"/>
          <w:lang w:eastAsia="zh-CN"/>
        </w:rPr>
        <w:t>成交人</w:t>
      </w:r>
      <w:r>
        <w:rPr>
          <w:rFonts w:hint="eastAsia" w:ascii="宋体" w:hAnsi="宋体" w:eastAsia="宋体" w:cs="宋体"/>
          <w:sz w:val="24"/>
          <w:szCs w:val="24"/>
        </w:rPr>
        <w:t>按成交金额支付逾期金额 2 ％的违约金。</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3）违约违规终止若</w:t>
      </w:r>
      <w:r>
        <w:rPr>
          <w:rFonts w:hint="eastAsia" w:ascii="宋体" w:hAnsi="宋体" w:cs="宋体"/>
          <w:sz w:val="24"/>
          <w:szCs w:val="24"/>
          <w:lang w:eastAsia="zh-CN"/>
        </w:rPr>
        <w:t>成交人</w:t>
      </w:r>
      <w:r>
        <w:rPr>
          <w:rFonts w:hint="eastAsia" w:ascii="宋体" w:hAnsi="宋体" w:eastAsia="宋体" w:cs="宋体"/>
          <w:sz w:val="24"/>
          <w:szCs w:val="24"/>
        </w:rPr>
        <w:t>未能在规定的期限内提供货物，在</w:t>
      </w:r>
      <w:r>
        <w:rPr>
          <w:rFonts w:hint="eastAsia" w:ascii="宋体" w:hAnsi="宋体" w:cs="宋体"/>
          <w:sz w:val="24"/>
          <w:szCs w:val="24"/>
          <w:lang w:eastAsia="zh-CN"/>
        </w:rPr>
        <w:t>采购人</w:t>
      </w:r>
      <w:r>
        <w:rPr>
          <w:rFonts w:hint="eastAsia" w:ascii="宋体" w:hAnsi="宋体" w:eastAsia="宋体" w:cs="宋体"/>
          <w:sz w:val="24"/>
          <w:szCs w:val="24"/>
        </w:rPr>
        <w:t>对</w:t>
      </w:r>
      <w:r>
        <w:rPr>
          <w:rFonts w:hint="eastAsia" w:ascii="宋体" w:hAnsi="宋体" w:cs="宋体"/>
          <w:sz w:val="24"/>
          <w:szCs w:val="24"/>
          <w:lang w:eastAsia="zh-CN"/>
        </w:rPr>
        <w:t>成交人</w:t>
      </w:r>
      <w:r>
        <w:rPr>
          <w:rFonts w:hint="eastAsia" w:ascii="宋体" w:hAnsi="宋体" w:eastAsia="宋体" w:cs="宋体"/>
          <w:sz w:val="24"/>
          <w:szCs w:val="24"/>
        </w:rPr>
        <w:t>违约而采取的任何补救措施不受影响的情况下，</w:t>
      </w:r>
      <w:r>
        <w:rPr>
          <w:rFonts w:hint="eastAsia" w:ascii="宋体" w:hAnsi="宋体" w:cs="宋体"/>
          <w:sz w:val="24"/>
          <w:szCs w:val="24"/>
          <w:lang w:eastAsia="zh-CN"/>
        </w:rPr>
        <w:t>采购人</w:t>
      </w:r>
      <w:r>
        <w:rPr>
          <w:rFonts w:hint="eastAsia" w:ascii="宋体" w:hAnsi="宋体" w:eastAsia="宋体" w:cs="宋体"/>
          <w:sz w:val="24"/>
          <w:szCs w:val="24"/>
        </w:rPr>
        <w:t>还可向</w:t>
      </w:r>
      <w:r>
        <w:rPr>
          <w:rFonts w:hint="eastAsia" w:ascii="宋体" w:hAnsi="宋体" w:cs="宋体"/>
          <w:sz w:val="24"/>
          <w:szCs w:val="24"/>
          <w:lang w:eastAsia="zh-CN"/>
        </w:rPr>
        <w:t>成交人</w:t>
      </w:r>
      <w:r>
        <w:rPr>
          <w:rFonts w:hint="eastAsia" w:ascii="宋体" w:hAnsi="宋体" w:eastAsia="宋体" w:cs="宋体"/>
          <w:sz w:val="24"/>
          <w:szCs w:val="24"/>
        </w:rPr>
        <w:t>发出书面的违约通知书，单方终止部分或全部协议。</w:t>
      </w:r>
    </w:p>
    <w:p>
      <w:pPr>
        <w:pStyle w:val="6"/>
        <w:numPr>
          <w:ilvl w:val="0"/>
          <w:numId w:val="0"/>
        </w:numPr>
        <w:spacing w:line="460" w:lineRule="exact"/>
        <w:ind w:firstLine="480" w:firstLineChars="200"/>
        <w:rPr>
          <w:rFonts w:hint="eastAsia" w:ascii="宋体" w:hAnsi="宋体" w:cs="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不可抗力事件处理：</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本条款中的不可抗力指不能预见、不能避免、不能克服的客观情况，包括但不限于：自然灾害如地震、台风、洪水、火灾及政府行为、法律规定或其适用的变化或其他任何无</w:t>
      </w:r>
      <w:r>
        <w:rPr>
          <w:rFonts w:hint="eastAsia" w:ascii="宋体" w:hAnsi="宋体" w:eastAsia="宋体" w:cs="宋体"/>
          <w:sz w:val="24"/>
          <w:szCs w:val="24"/>
        </w:rPr>
        <w:t>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numPr>
          <w:ilvl w:val="0"/>
          <w:numId w:val="0"/>
        </w:numPr>
        <w:spacing w:line="460" w:lineRule="exact"/>
        <w:ind w:firstLine="480" w:firstLineChars="200"/>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保密条款</w:t>
      </w:r>
      <w:r>
        <w:rPr>
          <w:rFonts w:hint="eastAsia" w:ascii="宋体" w:hAnsi="宋体" w:eastAsia="宋体" w:cs="宋体"/>
          <w:b/>
          <w:bCs/>
          <w:sz w:val="24"/>
          <w:szCs w:val="24"/>
          <w:lang w:eastAsia="zh-CN"/>
        </w:rPr>
        <w:t>：</w:t>
      </w:r>
    </w:p>
    <w:p>
      <w:pPr>
        <w:pStyle w:val="6"/>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9.1对于在采购和合同履行过程中所获悉的属于保密的内容，双方均负有保密义务。</w:t>
      </w:r>
    </w:p>
    <w:p>
      <w:pPr>
        <w:pStyle w:val="6"/>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9.2其他</w:t>
      </w:r>
    </w:p>
    <w:p>
      <w:pPr>
        <w:pStyle w:val="6"/>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Style w:val="6"/>
        <w:numPr>
          <w:ilvl w:val="0"/>
          <w:numId w:val="0"/>
        </w:numPr>
        <w:spacing w:line="460" w:lineRule="exact"/>
        <w:ind w:firstLine="480" w:firstLineChars="200"/>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解决争议的方法</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双方协商解决。</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10.2</w:t>
      </w:r>
      <w:r>
        <w:rPr>
          <w:rFonts w:hint="eastAsia" w:ascii="宋体" w:hAnsi="宋体" w:eastAsia="宋体" w:cs="宋体"/>
          <w:sz w:val="24"/>
          <w:szCs w:val="24"/>
        </w:rPr>
        <w:t>若协商解决不成，则通过下列途径之一解决：</w:t>
      </w:r>
    </w:p>
    <w:p>
      <w:pPr>
        <w:pStyle w:val="6"/>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提交仲裁委员会仲裁</w:t>
      </w:r>
      <w:r>
        <w:rPr>
          <w:rFonts w:hint="eastAsia" w:ascii="宋体" w:hAnsi="宋体" w:eastAsia="宋体" w:cs="宋体"/>
          <w:sz w:val="24"/>
          <w:szCs w:val="24"/>
          <w:lang w:eastAsia="zh-CN"/>
        </w:rPr>
        <w:t>；</w:t>
      </w:r>
    </w:p>
    <w:p>
      <w:pPr>
        <w:pStyle w:val="6"/>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向人民法院提起诉讼，具体如下：向</w:t>
      </w:r>
      <w:r>
        <w:rPr>
          <w:rFonts w:hint="eastAsia" w:ascii="宋体" w:hAnsi="宋体" w:cs="宋体"/>
          <w:sz w:val="24"/>
          <w:szCs w:val="24"/>
          <w:lang w:eastAsia="zh-CN"/>
        </w:rPr>
        <w:t>采购人</w:t>
      </w:r>
      <w:r>
        <w:rPr>
          <w:rFonts w:hint="eastAsia" w:ascii="宋体" w:hAnsi="宋体" w:eastAsia="宋体" w:cs="宋体"/>
          <w:sz w:val="24"/>
          <w:szCs w:val="24"/>
        </w:rPr>
        <w:t>所在地有管辖权的人民法院提起诉讼。</w:t>
      </w:r>
    </w:p>
    <w:p>
      <w:pPr>
        <w:pStyle w:val="29"/>
        <w:spacing w:line="440" w:lineRule="exact"/>
        <w:rPr>
          <w:rFonts w:ascii="宋体" w:hAnsi="宋体" w:cs="宋体"/>
          <w:sz w:val="24"/>
          <w:szCs w:val="24"/>
        </w:rPr>
      </w:pPr>
    </w:p>
    <w:p>
      <w:pPr>
        <w:spacing w:line="360" w:lineRule="auto"/>
        <w:ind w:firstLine="0" w:firstLineChars="0"/>
        <w:rPr>
          <w:rStyle w:val="27"/>
          <w:rFonts w:ascii="宋体" w:hAnsi="宋体" w:cs="Times New Roman"/>
          <w:b/>
          <w:bCs/>
          <w:sz w:val="36"/>
          <w:szCs w:val="36"/>
        </w:rPr>
      </w:pP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9"/>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9"/>
        <w:tblpPr w:leftFromText="180" w:rightFromText="180" w:vertAnchor="text" w:tblpY="1"/>
        <w:tblOverlap w:val="never"/>
        <w:tblW w:w="50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8"/>
        <w:gridCol w:w="438"/>
        <w:gridCol w:w="2752"/>
        <w:gridCol w:w="1341"/>
        <w:gridCol w:w="893"/>
        <w:gridCol w:w="212"/>
        <w:gridCol w:w="921"/>
        <w:gridCol w:w="1429"/>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合同包</w:t>
            </w:r>
          </w:p>
        </w:tc>
        <w:tc>
          <w:tcPr>
            <w:tcW w:w="223" w:type="pct"/>
            <w:tcBorders>
              <w:top w:val="single" w:color="000000" w:sz="4" w:space="0"/>
              <w:left w:val="single" w:color="000000" w:sz="4" w:space="0"/>
              <w:bottom w:val="single" w:color="000000" w:sz="4" w:space="0"/>
              <w:right w:val="single" w:color="auto" w:sz="4" w:space="0"/>
            </w:tcBorders>
            <w:noWrap w:val="0"/>
            <w:vAlign w:val="center"/>
          </w:tcPr>
          <w:p>
            <w:pPr>
              <w:pStyle w:val="40"/>
              <w:snapToGrid w:val="0"/>
              <w:spacing w:line="500" w:lineRule="exact"/>
              <w:jc w:val="center"/>
              <w:rPr>
                <w:rStyle w:val="27"/>
                <w:rFonts w:hAnsi="宋体" w:cs="宋体"/>
                <w:b/>
                <w:bCs/>
                <w:color w:val="auto"/>
                <w:spacing w:val="-11"/>
                <w:sz w:val="24"/>
                <w:highlight w:val="none"/>
              </w:rPr>
            </w:pPr>
            <w:r>
              <w:rPr>
                <w:rStyle w:val="27"/>
                <w:rFonts w:hAnsi="宋体" w:cs="宋体"/>
                <w:b/>
                <w:bCs/>
                <w:color w:val="auto"/>
                <w:spacing w:val="-11"/>
                <w:sz w:val="24"/>
                <w:highlight w:val="none"/>
              </w:rPr>
              <w:t>序号</w:t>
            </w:r>
          </w:p>
        </w:tc>
        <w:tc>
          <w:tcPr>
            <w:tcW w:w="1401" w:type="pct"/>
            <w:tcBorders>
              <w:top w:val="single" w:color="000000" w:sz="4" w:space="0"/>
              <w:left w:val="single" w:color="auto" w:sz="4" w:space="0"/>
              <w:bottom w:val="single" w:color="000000" w:sz="4" w:space="0"/>
              <w:right w:val="single" w:color="000000" w:sz="4" w:space="0"/>
            </w:tcBorders>
            <w:noWrap w:val="0"/>
            <w:vAlign w:val="center"/>
          </w:tcPr>
          <w:p>
            <w:pPr>
              <w:pStyle w:val="40"/>
              <w:snapToGrid w:val="0"/>
              <w:spacing w:line="500" w:lineRule="exact"/>
              <w:jc w:val="center"/>
              <w:rPr>
                <w:rStyle w:val="27"/>
                <w:rFonts w:hAnsi="宋体" w:cs="宋体"/>
                <w:b/>
                <w:bCs/>
                <w:color w:val="auto"/>
                <w:spacing w:val="-11"/>
                <w:sz w:val="24"/>
                <w:highlight w:val="none"/>
              </w:rPr>
            </w:pPr>
            <w:r>
              <w:rPr>
                <w:rStyle w:val="27"/>
                <w:rFonts w:hAnsi="宋体" w:cs="宋体"/>
                <w:b/>
                <w:bCs/>
                <w:color w:val="auto"/>
                <w:spacing w:val="-11"/>
                <w:sz w:val="24"/>
                <w:highlight w:val="none"/>
              </w:rPr>
              <w:t>商品名称</w:t>
            </w:r>
          </w:p>
        </w:tc>
        <w:tc>
          <w:tcPr>
            <w:tcW w:w="1246"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数量</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投标单价</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cs="宋体"/>
                <w:b/>
                <w:bCs/>
                <w:color w:val="auto"/>
                <w:spacing w:val="-11"/>
                <w:sz w:val="24"/>
                <w:highlight w:val="none"/>
              </w:rPr>
            </w:pPr>
            <w:r>
              <w:rPr>
                <w:rStyle w:val="27"/>
                <w:rFonts w:hint="eastAsia" w:ascii="宋体" w:hAnsi="宋体" w:cs="宋体"/>
                <w:b/>
                <w:bCs/>
                <w:color w:val="auto"/>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right w:val="single" w:color="000000" w:sz="4" w:space="0"/>
            </w:tcBorders>
            <w:noWrap w:val="0"/>
            <w:vAlign w:val="center"/>
          </w:tcPr>
          <w:p>
            <w:pPr>
              <w:pStyle w:val="74"/>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3"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01"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ascii="宋体" w:hAnsi="宋体" w:cs="仿宋_GB2312"/>
                <w:color w:val="auto"/>
                <w:sz w:val="24"/>
                <w:highlight w:val="none"/>
              </w:rPr>
            </w:pPr>
            <w:r>
              <w:rPr>
                <w:rStyle w:val="27"/>
                <w:rFonts w:hint="eastAsia" w:ascii="宋体" w:hAnsi="宋体"/>
                <w:color w:val="auto"/>
                <w:spacing w:val="-11"/>
                <w:sz w:val="24"/>
                <w:highlight w:val="none"/>
                <w:u w:val="none" w:color="auto"/>
                <w:lang w:eastAsia="zh-CN"/>
              </w:rPr>
              <w:t>福州职业技术学院第一会议室扩声设备采购项目</w:t>
            </w:r>
          </w:p>
        </w:tc>
        <w:tc>
          <w:tcPr>
            <w:tcW w:w="1246"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1批</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auto"/>
                <w:sz w:val="24"/>
                <w:highlight w:val="none"/>
              </w:rPr>
            </w:pPr>
            <w:r>
              <w:rPr>
                <w:rFonts w:hint="eastAsia" w:ascii="宋体" w:hAnsi="宋体"/>
                <w:b/>
                <w:color w:val="auto"/>
                <w:sz w:val="24"/>
                <w:highlight w:val="none"/>
              </w:rPr>
              <w:t>投标总金额大写：</w:t>
            </w:r>
          </w:p>
          <w:p>
            <w:pPr>
              <w:spacing w:line="500" w:lineRule="exact"/>
              <w:jc w:val="left"/>
              <w:rPr>
                <w:rFonts w:hint="eastAsia" w:ascii="宋体" w:hAnsi="宋体"/>
                <w:b/>
                <w:color w:val="auto"/>
                <w:sz w:val="24"/>
                <w:highlight w:val="none"/>
              </w:rPr>
            </w:pPr>
            <w:r>
              <w:rPr>
                <w:rFonts w:hint="eastAsia" w:ascii="宋体" w:hAnsi="宋体"/>
                <w:b/>
                <w:color w:val="auto"/>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序号</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货物名称</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auto"/>
                <w:spacing w:val="-11"/>
                <w:sz w:val="24"/>
                <w:highlight w:val="none"/>
              </w:rPr>
            </w:pPr>
            <w:r>
              <w:rPr>
                <w:rStyle w:val="27"/>
                <w:rFonts w:hint="eastAsia" w:ascii="宋体" w:hAnsi="宋体" w:cs="宋体"/>
                <w:b/>
                <w:bCs/>
                <w:color w:val="auto"/>
                <w:spacing w:val="-11"/>
                <w:sz w:val="24"/>
                <w:highlight w:val="none"/>
              </w:rPr>
              <w:t>品牌/型号</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ind w:left="0" w:leftChars="0" w:firstLine="0" w:firstLineChars="0"/>
              <w:jc w:val="center"/>
              <w:rPr>
                <w:rStyle w:val="27"/>
                <w:rFonts w:hint="eastAsia" w:ascii="宋体" w:hAnsi="宋体" w:eastAsia="宋体" w:cs="宋体"/>
                <w:b/>
                <w:bCs/>
                <w:color w:val="auto"/>
                <w:spacing w:val="-11"/>
                <w:sz w:val="24"/>
                <w:highlight w:val="none"/>
                <w:lang w:val="en-US" w:eastAsia="zh-CN"/>
              </w:rPr>
            </w:pPr>
            <w:r>
              <w:rPr>
                <w:rStyle w:val="27"/>
                <w:rFonts w:hint="eastAsia" w:ascii="宋体" w:hAnsi="宋体"/>
                <w:b/>
                <w:bCs/>
                <w:color w:val="auto"/>
                <w:sz w:val="24"/>
                <w:highlight w:val="none"/>
                <w:vertAlign w:val="baseline"/>
                <w:lang w:val="en-US" w:eastAsia="zh-CN"/>
              </w:rPr>
              <w:t>数量</w:t>
            </w:r>
          </w:p>
        </w:tc>
        <w:tc>
          <w:tcPr>
            <w:tcW w:w="576" w:type="pct"/>
            <w:gridSpan w:val="2"/>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ind w:left="0" w:leftChars="0" w:firstLine="0" w:firstLineChars="0"/>
              <w:jc w:val="center"/>
              <w:rPr>
                <w:rStyle w:val="27"/>
                <w:rFonts w:hint="eastAsia" w:ascii="宋体" w:hAnsi="宋体" w:eastAsia="宋体" w:cs="宋体"/>
                <w:b/>
                <w:bCs/>
                <w:color w:val="auto"/>
                <w:spacing w:val="-11"/>
                <w:sz w:val="24"/>
                <w:highlight w:val="none"/>
                <w:lang w:val="en-US" w:eastAsia="zh-CN"/>
              </w:rPr>
            </w:pPr>
            <w:r>
              <w:rPr>
                <w:rStyle w:val="27"/>
                <w:rFonts w:hint="eastAsia" w:ascii="宋体" w:hAnsi="宋体"/>
                <w:b/>
                <w:bCs/>
                <w:color w:val="auto"/>
                <w:sz w:val="24"/>
                <w:highlight w:val="none"/>
                <w:vertAlign w:val="baseline"/>
                <w:lang w:val="en-US" w:eastAsia="zh-CN"/>
              </w:rPr>
              <w:t>单位</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eastAsia="宋体" w:cs="宋体"/>
                <w:b/>
                <w:bCs/>
                <w:color w:val="auto"/>
                <w:spacing w:val="-11"/>
                <w:sz w:val="24"/>
                <w:highlight w:val="none"/>
                <w:lang w:val="en-US" w:eastAsia="zh-CN"/>
              </w:rPr>
            </w:pPr>
            <w:r>
              <w:rPr>
                <w:rStyle w:val="27"/>
                <w:rFonts w:hint="eastAsia" w:ascii="宋体" w:hAnsi="宋体" w:cs="宋体"/>
                <w:b/>
                <w:bCs/>
                <w:color w:val="auto"/>
                <w:spacing w:val="-11"/>
                <w:sz w:val="24"/>
                <w:highlight w:val="none"/>
                <w:lang w:val="en-US" w:eastAsia="zh-CN"/>
              </w:rPr>
              <w:t>单价（元）</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cs="宋体"/>
                <w:b/>
                <w:bCs/>
                <w:color w:val="auto"/>
                <w:spacing w:val="-11"/>
                <w:sz w:val="24"/>
                <w:highlight w:val="none"/>
                <w:lang w:val="en-US" w:eastAsia="zh-CN"/>
              </w:rPr>
            </w:pPr>
            <w:r>
              <w:rPr>
                <w:rStyle w:val="27"/>
                <w:rFonts w:hint="eastAsia" w:ascii="宋体" w:hAnsi="宋体" w:cs="宋体"/>
                <w:b/>
                <w:bCs/>
                <w:color w:val="auto"/>
                <w:spacing w:val="-11"/>
                <w:sz w:val="24"/>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1</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多股软芯电线（红色）</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2</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卷</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2</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多股软芯电线（黑色）</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2</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卷</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多股软芯电线（蓝色）</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2</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卷</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电工实训 电源箱</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8</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万用表</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8</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螺丝刀双头</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10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剥线钳</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10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低压验电器</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10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eastAsia="zh-CN"/>
              </w:rPr>
            </w:pPr>
            <w:r>
              <w:rPr>
                <w:rFonts w:hint="eastAsia" w:ascii="宋体" w:hAnsi="宋体" w:eastAsia="宋体" w:cs="宋体"/>
                <w:i w:val="0"/>
                <w:iCs w:val="0"/>
                <w:color w:val="000000"/>
                <w:kern w:val="0"/>
                <w:sz w:val="24"/>
                <w:szCs w:val="24"/>
                <w:u w:val="none"/>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4mm 香蕉插头</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4mm 香蕉插头</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三相鼠笼式异步电动机</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多层板</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片</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双闭环调速控制板</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BK单相控制隔离变压器</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电子组装套件</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230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BT33F单结晶体管晶闸管可控硅 调光台灯电路模块</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230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公牛二脚插头 10a</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40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62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明装e27螺口灯座</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Style w:val="27"/>
                <w:rFonts w:hint="eastAsia" w:ascii="宋体" w:hAnsi="宋体" w:cs="Times New Roman"/>
                <w:color w:val="auto"/>
                <w:spacing w:val="-11"/>
                <w:sz w:val="24"/>
                <w:highlight w:val="none"/>
                <w:u w:val="none" w:color="auto"/>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40</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ascii="宋体" w:hAnsi="宋体" w:cs="Times New Roman"/>
                <w:color w:val="auto"/>
                <w:spacing w:val="-11"/>
                <w:sz w:val="24"/>
                <w:highlight w:val="none"/>
                <w:u w:val="none" w:color="auto"/>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auto"/>
                <w:spacing w:val="-11"/>
                <w:sz w:val="24"/>
                <w:highlight w:val="none"/>
              </w:rPr>
            </w:pP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4"/>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2"/>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2"/>
                      <w:jc w:val="both"/>
                      <w:rPr>
                        <w:rStyle w:val="27"/>
                      </w:rPr>
                    </w:pPr>
                  </w:p>
                  <w:p>
                    <w:pPr>
                      <w:rPr>
                        <w:rStyle w:val="27"/>
                      </w:rPr>
                    </w:pPr>
                  </w:p>
                </w:txbxContent>
              </v:textbox>
            </v:shape>
          </w:pict>
        </mc:Fallback>
      </mc:AlternateContent>
    </w:r>
  </w:p>
  <w:p>
    <w:pPr>
      <w:pStyle w:val="12"/>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2"/>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2"/>
                      <w:jc w:val="center"/>
                      <w:rPr>
                        <w:rStyle w:val="27"/>
                      </w:rPr>
                    </w:pPr>
                  </w:p>
                  <w:p>
                    <w:pPr>
                      <w:rPr>
                        <w:rStyle w:val="27"/>
                      </w:rPr>
                    </w:pPr>
                  </w:p>
                </w:txbxContent>
              </v:textbox>
            </v:shape>
          </w:pict>
        </mc:Fallback>
      </mc:AlternateContent>
    </w:r>
  </w:p>
  <w:p>
    <w:pPr>
      <w:pStyle w:val="12"/>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07E7"/>
    <w:multiLevelType w:val="singleLevel"/>
    <w:tmpl w:val="A25507E7"/>
    <w:lvl w:ilvl="0" w:tentative="0">
      <w:start w:val="2"/>
      <w:numFmt w:val="chineseCounting"/>
      <w:suff w:val="nothing"/>
      <w:lvlText w:val="%1、"/>
      <w:lvlJc w:val="left"/>
      <w:rPr>
        <w:rFonts w:hint="eastAsia"/>
      </w:rPr>
    </w:lvl>
  </w:abstractNum>
  <w:abstractNum w:abstractNumId="1">
    <w:nsid w:val="2B4CF7F8"/>
    <w:multiLevelType w:val="singleLevel"/>
    <w:tmpl w:val="2B4CF7F8"/>
    <w:lvl w:ilvl="0" w:tentative="0">
      <w:start w:val="8"/>
      <w:numFmt w:val="decimal"/>
      <w:suff w:val="nothing"/>
      <w:lvlText w:val="（%1）"/>
      <w:lvlJc w:val="left"/>
    </w:lvl>
  </w:abstractNum>
  <w:abstractNum w:abstractNumId="2">
    <w:nsid w:val="72510502"/>
    <w:multiLevelType w:val="singleLevel"/>
    <w:tmpl w:val="7251050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mOTk3M2NjZjJjZTc4YTViYjIyYjI2ZTFhY2YyY2MifQ=="/>
    <w:docVar w:name="KSO_WPS_MARK_KEY" w:val="6d95ea1a-465f-46ba-9ce1-6fb8d6bbee17"/>
  </w:docVars>
  <w:rsids>
    <w:rsidRoot w:val="00F44F45"/>
    <w:rsid w:val="00064EFE"/>
    <w:rsid w:val="000670DA"/>
    <w:rsid w:val="00153571"/>
    <w:rsid w:val="00234C46"/>
    <w:rsid w:val="003727B4"/>
    <w:rsid w:val="00374E17"/>
    <w:rsid w:val="004D601A"/>
    <w:rsid w:val="005425D7"/>
    <w:rsid w:val="005F786A"/>
    <w:rsid w:val="006362FD"/>
    <w:rsid w:val="00740000"/>
    <w:rsid w:val="008025F6"/>
    <w:rsid w:val="0084526B"/>
    <w:rsid w:val="008E5B50"/>
    <w:rsid w:val="00A72012"/>
    <w:rsid w:val="00BD4C5E"/>
    <w:rsid w:val="00C6347F"/>
    <w:rsid w:val="00D10047"/>
    <w:rsid w:val="00E14994"/>
    <w:rsid w:val="00F44F45"/>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D24C87"/>
    <w:rsid w:val="0AF34D5C"/>
    <w:rsid w:val="0CAC4948"/>
    <w:rsid w:val="0D2F021B"/>
    <w:rsid w:val="0D9D76FF"/>
    <w:rsid w:val="0E0A6A8B"/>
    <w:rsid w:val="0E8E6809"/>
    <w:rsid w:val="0EC130C1"/>
    <w:rsid w:val="0EDE5518"/>
    <w:rsid w:val="0F4471CE"/>
    <w:rsid w:val="0F704CB2"/>
    <w:rsid w:val="0F78184E"/>
    <w:rsid w:val="106A763E"/>
    <w:rsid w:val="10996B79"/>
    <w:rsid w:val="11103C05"/>
    <w:rsid w:val="11F013EE"/>
    <w:rsid w:val="13735723"/>
    <w:rsid w:val="13BD32DA"/>
    <w:rsid w:val="13FA068E"/>
    <w:rsid w:val="143D057B"/>
    <w:rsid w:val="143F2784"/>
    <w:rsid w:val="149047DA"/>
    <w:rsid w:val="14F25F7F"/>
    <w:rsid w:val="152936D6"/>
    <w:rsid w:val="15E85C59"/>
    <w:rsid w:val="16BF796D"/>
    <w:rsid w:val="174130B8"/>
    <w:rsid w:val="18614316"/>
    <w:rsid w:val="18912EDE"/>
    <w:rsid w:val="18A53443"/>
    <w:rsid w:val="196B14AE"/>
    <w:rsid w:val="1C84240E"/>
    <w:rsid w:val="1EE91A2B"/>
    <w:rsid w:val="1FBC3086"/>
    <w:rsid w:val="1FC828A8"/>
    <w:rsid w:val="1FCD2AA2"/>
    <w:rsid w:val="20181DCE"/>
    <w:rsid w:val="205E72B6"/>
    <w:rsid w:val="207F0BCF"/>
    <w:rsid w:val="209423C4"/>
    <w:rsid w:val="22450CD4"/>
    <w:rsid w:val="22F632C6"/>
    <w:rsid w:val="23725D87"/>
    <w:rsid w:val="252809F1"/>
    <w:rsid w:val="255C1C20"/>
    <w:rsid w:val="260C4461"/>
    <w:rsid w:val="26E10C03"/>
    <w:rsid w:val="27210464"/>
    <w:rsid w:val="27637F71"/>
    <w:rsid w:val="277826C9"/>
    <w:rsid w:val="27F8168A"/>
    <w:rsid w:val="28B35596"/>
    <w:rsid w:val="29237601"/>
    <w:rsid w:val="29455AB0"/>
    <w:rsid w:val="29545384"/>
    <w:rsid w:val="29B30EE0"/>
    <w:rsid w:val="2A362867"/>
    <w:rsid w:val="2ADE2253"/>
    <w:rsid w:val="2B5D20D7"/>
    <w:rsid w:val="2B696195"/>
    <w:rsid w:val="2B6A3EF4"/>
    <w:rsid w:val="2B75004B"/>
    <w:rsid w:val="2B906588"/>
    <w:rsid w:val="2D25628E"/>
    <w:rsid w:val="2D6B2114"/>
    <w:rsid w:val="2D6C3F53"/>
    <w:rsid w:val="2DB20DF4"/>
    <w:rsid w:val="2DC20957"/>
    <w:rsid w:val="2E2528B6"/>
    <w:rsid w:val="2F164775"/>
    <w:rsid w:val="2F3F0F28"/>
    <w:rsid w:val="2FC64924"/>
    <w:rsid w:val="2FE31021"/>
    <w:rsid w:val="2FEA516D"/>
    <w:rsid w:val="3076349C"/>
    <w:rsid w:val="307A5B41"/>
    <w:rsid w:val="31256984"/>
    <w:rsid w:val="31311CC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BE943F0"/>
    <w:rsid w:val="3C87698F"/>
    <w:rsid w:val="3D850F09"/>
    <w:rsid w:val="3D9C35F2"/>
    <w:rsid w:val="3DA034C1"/>
    <w:rsid w:val="3DAD494C"/>
    <w:rsid w:val="3DF54C9C"/>
    <w:rsid w:val="3E3C34CE"/>
    <w:rsid w:val="3E575950"/>
    <w:rsid w:val="3E7D66E2"/>
    <w:rsid w:val="3EC51D22"/>
    <w:rsid w:val="3EC82255"/>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B82457"/>
    <w:rsid w:val="46E22A02"/>
    <w:rsid w:val="46E87CF4"/>
    <w:rsid w:val="47DD50D0"/>
    <w:rsid w:val="488967AA"/>
    <w:rsid w:val="48C57AA4"/>
    <w:rsid w:val="48FD34FE"/>
    <w:rsid w:val="4A7162AD"/>
    <w:rsid w:val="4AF47B94"/>
    <w:rsid w:val="4B1E6A22"/>
    <w:rsid w:val="4B5253A6"/>
    <w:rsid w:val="4C237FE7"/>
    <w:rsid w:val="4C6500C7"/>
    <w:rsid w:val="4CE767BB"/>
    <w:rsid w:val="4CF43B5D"/>
    <w:rsid w:val="4D256C39"/>
    <w:rsid w:val="4DFC71B6"/>
    <w:rsid w:val="4E201D35"/>
    <w:rsid w:val="4F063322"/>
    <w:rsid w:val="50EF69A8"/>
    <w:rsid w:val="51380117"/>
    <w:rsid w:val="52C61160"/>
    <w:rsid w:val="53DC7BD1"/>
    <w:rsid w:val="543E34F6"/>
    <w:rsid w:val="554D3BCD"/>
    <w:rsid w:val="55D571F9"/>
    <w:rsid w:val="56A52A01"/>
    <w:rsid w:val="57847902"/>
    <w:rsid w:val="58404631"/>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F7517E"/>
    <w:rsid w:val="67463C71"/>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5B7F07"/>
    <w:rsid w:val="72B21B48"/>
    <w:rsid w:val="743A1B26"/>
    <w:rsid w:val="74F13428"/>
    <w:rsid w:val="75335DBD"/>
    <w:rsid w:val="755C1795"/>
    <w:rsid w:val="759926FC"/>
    <w:rsid w:val="76C92E49"/>
    <w:rsid w:val="78F47F26"/>
    <w:rsid w:val="79A61117"/>
    <w:rsid w:val="79BE07AA"/>
    <w:rsid w:val="79C43AA9"/>
    <w:rsid w:val="7A913EA5"/>
    <w:rsid w:val="7B557159"/>
    <w:rsid w:val="7B971768"/>
    <w:rsid w:val="7C11608C"/>
    <w:rsid w:val="7C2F1451"/>
    <w:rsid w:val="7D1D1B1E"/>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黑体"/>
      <w:b/>
      <w:kern w:val="44"/>
      <w:sz w:val="36"/>
    </w:rPr>
  </w:style>
  <w:style w:type="paragraph" w:styleId="4">
    <w:name w:val="heading 2"/>
    <w:basedOn w:val="1"/>
    <w:next w:val="1"/>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5">
    <w:name w:val="heading 3"/>
    <w:basedOn w:val="3"/>
    <w:next w:val="1"/>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next w:val="7"/>
    <w:qFormat/>
    <w:uiPriority w:val="0"/>
    <w:pPr>
      <w:ind w:firstLine="420"/>
    </w:pPr>
    <w:rPr>
      <w:szCs w:val="20"/>
    </w:rPr>
  </w:style>
  <w:style w:type="paragraph" w:styleId="7">
    <w:name w:val="Body Text Indent"/>
    <w:basedOn w:val="1"/>
    <w:next w:val="6"/>
    <w:qFormat/>
    <w:uiPriority w:val="0"/>
    <w:pPr>
      <w:spacing w:after="120"/>
      <w:ind w:left="420" w:leftChars="200"/>
    </w:pPr>
  </w:style>
  <w:style w:type="paragraph" w:styleId="8">
    <w:name w:val="annotation text"/>
    <w:basedOn w:val="1"/>
    <w:link w:val="76"/>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Date"/>
    <w:basedOn w:val="1"/>
    <w:next w:val="1"/>
    <w:qFormat/>
    <w:uiPriority w:val="0"/>
    <w:pPr>
      <w:ind w:left="100" w:leftChars="2500"/>
    </w:pPr>
  </w:style>
  <w:style w:type="paragraph" w:styleId="12">
    <w:name w:val="footer"/>
    <w:basedOn w:val="1"/>
    <w:link w:val="43"/>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45"/>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rFonts w:ascii="宋体" w:hAnsi="宋体" w:cs="宋体"/>
      <w:kern w:val="0"/>
      <w:sz w:val="24"/>
    </w:rPr>
  </w:style>
  <w:style w:type="paragraph" w:styleId="16">
    <w:name w:val="annotation subject"/>
    <w:basedOn w:val="8"/>
    <w:next w:val="8"/>
    <w:link w:val="77"/>
    <w:qFormat/>
    <w:uiPriority w:val="0"/>
    <w:rPr>
      <w:b/>
      <w:bCs/>
    </w:rPr>
  </w:style>
  <w:style w:type="paragraph" w:styleId="17">
    <w:name w:val="Body Text First Indent"/>
    <w:basedOn w:val="9"/>
    <w:qFormat/>
    <w:uiPriority w:val="0"/>
    <w:pPr>
      <w:ind w:firstLine="420" w:firstLineChars="100"/>
    </w:pPr>
  </w:style>
  <w:style w:type="paragraph" w:styleId="18">
    <w:name w:val="Body Text First Indent 2"/>
    <w:basedOn w:val="7"/>
    <w:qFormat/>
    <w:uiPriority w:val="99"/>
    <w:pPr>
      <w:tabs>
        <w:tab w:val="left" w:pos="4606"/>
      </w:tabs>
      <w:ind w:firstLine="420"/>
    </w:pPr>
  </w:style>
  <w:style w:type="table" w:styleId="20">
    <w:name w:val="Table Grid"/>
    <w:basedOn w:val="1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heme="minorBidi"/>
      <w:kern w:val="2"/>
      <w:sz w:val="21"/>
      <w:szCs w:val="24"/>
      <w:lang w:val="en-US" w:eastAsia="zh-CN" w:bidi="ar-SA"/>
    </w:rPr>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qFormat/>
    <w:uiPriority w:val="0"/>
    <w:rPr>
      <w:color w:val="0000FF"/>
      <w:u w:val="single"/>
    </w:rPr>
  </w:style>
  <w:style w:type="character" w:styleId="26">
    <w:name w:val="annotation reference"/>
    <w:basedOn w:val="21"/>
    <w:qFormat/>
    <w:uiPriority w:val="0"/>
    <w:rPr>
      <w:sz w:val="21"/>
      <w:szCs w:val="21"/>
    </w:rPr>
  </w:style>
  <w:style w:type="character" w:customStyle="1" w:styleId="27">
    <w:name w:val="NormalCharacter"/>
    <w:semiHidden/>
    <w:qFormat/>
    <w:uiPriority w:val="0"/>
  </w:style>
  <w:style w:type="paragraph" w:customStyle="1" w:styleId="28">
    <w:name w:val="正文缩进1"/>
    <w:basedOn w:val="1"/>
    <w:qFormat/>
    <w:uiPriority w:val="0"/>
    <w:pPr>
      <w:ind w:firstLine="420"/>
      <w:jc w:val="left"/>
    </w:pPr>
    <w:rPr>
      <w:kern w:val="0"/>
    </w:rPr>
  </w:style>
  <w:style w:type="paragraph" w:customStyle="1" w:styleId="29">
    <w:name w:val="NormalIndent"/>
    <w:basedOn w:val="1"/>
    <w:next w:val="30"/>
    <w:link w:val="34"/>
    <w:qFormat/>
    <w:uiPriority w:val="0"/>
    <w:pPr>
      <w:ind w:firstLine="420"/>
    </w:pPr>
    <w:rPr>
      <w:szCs w:val="20"/>
    </w:rPr>
  </w:style>
  <w:style w:type="paragraph" w:customStyle="1" w:styleId="30">
    <w:name w:val="BodyTextIndent"/>
    <w:basedOn w:val="1"/>
    <w:next w:val="29"/>
    <w:qFormat/>
    <w:uiPriority w:val="0"/>
    <w:pPr>
      <w:spacing w:after="120"/>
      <w:ind w:left="420" w:leftChars="200"/>
    </w:pPr>
  </w:style>
  <w:style w:type="paragraph" w:customStyle="1" w:styleId="31">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qFormat/>
    <w:uiPriority w:val="0"/>
    <w:pPr>
      <w:spacing w:beforeAutospacing="1" w:afterAutospacing="1"/>
      <w:jc w:val="left"/>
    </w:pPr>
    <w:rPr>
      <w:rFonts w:ascii="宋体" w:hAnsi="宋体"/>
      <w:b/>
      <w:kern w:val="0"/>
      <w:sz w:val="36"/>
      <w:szCs w:val="36"/>
    </w:rPr>
  </w:style>
  <w:style w:type="table" w:customStyle="1" w:styleId="33">
    <w:name w:val="TableNormal"/>
    <w:semiHidden/>
    <w:qFormat/>
    <w:uiPriority w:val="0"/>
    <w:tblPr>
      <w:tblCellMar>
        <w:top w:w="0" w:type="dxa"/>
        <w:left w:w="0" w:type="dxa"/>
        <w:bottom w:w="0" w:type="dxa"/>
        <w:right w:w="0" w:type="dxa"/>
      </w:tblCellMar>
    </w:tblPr>
  </w:style>
  <w:style w:type="character" w:customStyle="1" w:styleId="34">
    <w:name w:val="UserStyle_0"/>
    <w:link w:val="29"/>
    <w:qFormat/>
    <w:uiPriority w:val="0"/>
    <w:rPr>
      <w:rFonts w:eastAsia="宋体"/>
      <w:kern w:val="2"/>
      <w:sz w:val="21"/>
      <w:lang w:val="en-US" w:eastAsia="zh-CN" w:bidi="ar-SA"/>
    </w:rPr>
  </w:style>
  <w:style w:type="character" w:customStyle="1" w:styleId="35">
    <w:name w:val="UserStyle_1"/>
    <w:link w:val="32"/>
    <w:qFormat/>
    <w:uiPriority w:val="0"/>
    <w:rPr>
      <w:rFonts w:ascii="宋体" w:hAnsi="宋体"/>
      <w:b/>
      <w:sz w:val="36"/>
      <w:szCs w:val="36"/>
    </w:rPr>
  </w:style>
  <w:style w:type="paragraph" w:customStyle="1" w:styleId="36">
    <w:name w:val="NavPane"/>
    <w:basedOn w:val="1"/>
    <w:semiHidden/>
    <w:qFormat/>
    <w:uiPriority w:val="0"/>
    <w:pPr>
      <w:shd w:val="clear" w:color="auto" w:fill="000080"/>
    </w:pPr>
  </w:style>
  <w:style w:type="paragraph" w:customStyle="1" w:styleId="37">
    <w:name w:val="AnnotationText"/>
    <w:basedOn w:val="1"/>
    <w:link w:val="38"/>
    <w:qFormat/>
    <w:uiPriority w:val="0"/>
    <w:pPr>
      <w:jc w:val="left"/>
    </w:pPr>
  </w:style>
  <w:style w:type="character" w:customStyle="1" w:styleId="38">
    <w:name w:val="UserStyle_2"/>
    <w:link w:val="37"/>
    <w:qFormat/>
    <w:uiPriority w:val="0"/>
    <w:rPr>
      <w:kern w:val="2"/>
      <w:sz w:val="21"/>
      <w:szCs w:val="24"/>
    </w:rPr>
  </w:style>
  <w:style w:type="paragraph" w:customStyle="1" w:styleId="39">
    <w:name w:val="BodyText"/>
    <w:basedOn w:val="1"/>
    <w:qFormat/>
    <w:uiPriority w:val="0"/>
    <w:pPr>
      <w:spacing w:after="120"/>
    </w:pPr>
  </w:style>
  <w:style w:type="paragraph" w:customStyle="1" w:styleId="40">
    <w:name w:val="PlainText"/>
    <w:basedOn w:val="1"/>
    <w:qFormat/>
    <w:uiPriority w:val="0"/>
    <w:rPr>
      <w:rFonts w:ascii="宋体" w:hAnsi="Courier New"/>
      <w:kern w:val="0"/>
      <w:sz w:val="20"/>
    </w:rPr>
  </w:style>
  <w:style w:type="paragraph" w:customStyle="1" w:styleId="41">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semiHidden/>
    <w:qFormat/>
    <w:uiPriority w:val="0"/>
    <w:rPr>
      <w:sz w:val="18"/>
      <w:szCs w:val="18"/>
    </w:rPr>
  </w:style>
  <w:style w:type="character" w:customStyle="1" w:styleId="43">
    <w:name w:val="页脚 字符"/>
    <w:link w:val="12"/>
    <w:qFormat/>
    <w:uiPriority w:val="0"/>
    <w:rPr>
      <w:kern w:val="2"/>
      <w:sz w:val="18"/>
      <w:szCs w:val="18"/>
    </w:rPr>
  </w:style>
  <w:style w:type="paragraph" w:customStyle="1" w:styleId="44">
    <w:name w:val="EnvelopeReturn"/>
    <w:basedOn w:val="1"/>
    <w:qFormat/>
    <w:uiPriority w:val="0"/>
    <w:pPr>
      <w:snapToGrid w:val="0"/>
    </w:pPr>
    <w:rPr>
      <w:rFonts w:ascii="Arial" w:hAnsi="Arial"/>
    </w:rPr>
  </w:style>
  <w:style w:type="character" w:customStyle="1" w:styleId="45">
    <w:name w:val="页眉 字符"/>
    <w:link w:val="14"/>
    <w:qFormat/>
    <w:uiPriority w:val="0"/>
    <w:rPr>
      <w:kern w:val="2"/>
      <w:sz w:val="18"/>
      <w:szCs w:val="18"/>
    </w:rPr>
  </w:style>
  <w:style w:type="paragraph" w:customStyle="1" w:styleId="46">
    <w:name w:val="HtmlNormal"/>
    <w:basedOn w:val="1"/>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qFormat/>
    <w:uiPriority w:val="0"/>
    <w:rPr>
      <w:rFonts w:cs="Times New Roman"/>
      <w:b/>
      <w:bCs/>
    </w:rPr>
  </w:style>
  <w:style w:type="character" w:customStyle="1" w:styleId="48">
    <w:name w:val="UserStyle_5"/>
    <w:link w:val="47"/>
    <w:qFormat/>
    <w:uiPriority w:val="0"/>
    <w:rPr>
      <w:rFonts w:cs="Times New Roman"/>
      <w:b/>
      <w:bCs/>
      <w:kern w:val="2"/>
      <w:sz w:val="21"/>
      <w:szCs w:val="24"/>
    </w:rPr>
  </w:style>
  <w:style w:type="paragraph" w:customStyle="1" w:styleId="49">
    <w:name w:val="BodyText1I"/>
    <w:basedOn w:val="39"/>
    <w:qFormat/>
    <w:uiPriority w:val="0"/>
    <w:pPr>
      <w:ind w:firstLine="420" w:firstLineChars="100"/>
    </w:pPr>
    <w:rPr>
      <w:rFonts w:ascii="Calibri" w:hAnsi="Calibri"/>
      <w:kern w:val="0"/>
      <w:sz w:val="20"/>
      <w:szCs w:val="20"/>
    </w:rPr>
  </w:style>
  <w:style w:type="paragraph" w:customStyle="1" w:styleId="50">
    <w:name w:val="BodyText1I2"/>
    <w:basedOn w:val="30"/>
    <w:qFormat/>
    <w:uiPriority w:val="0"/>
    <w:pPr>
      <w:tabs>
        <w:tab w:val="left" w:pos="4606"/>
      </w:tabs>
      <w:ind w:firstLine="420"/>
    </w:pPr>
  </w:style>
  <w:style w:type="table" w:customStyle="1" w:styleId="51">
    <w:name w:val="TableGrid"/>
    <w:basedOn w:val="33"/>
    <w:qFormat/>
    <w:uiPriority w:val="0"/>
  </w:style>
  <w:style w:type="character" w:customStyle="1" w:styleId="52">
    <w:name w:val="PageNumber"/>
    <w:basedOn w:val="27"/>
    <w:qFormat/>
    <w:uiPriority w:val="0"/>
  </w:style>
  <w:style w:type="character" w:customStyle="1" w:styleId="53">
    <w:name w:val="AnnotationReference"/>
    <w:qFormat/>
    <w:uiPriority w:val="0"/>
    <w:rPr>
      <w:sz w:val="21"/>
      <w:szCs w:val="21"/>
    </w:rPr>
  </w:style>
  <w:style w:type="character" w:customStyle="1" w:styleId="54">
    <w:name w:val="UserStyle_6"/>
    <w:basedOn w:val="27"/>
    <w:qFormat/>
    <w:uiPriority w:val="0"/>
    <w:rPr>
      <w:rFonts w:ascii="宋体" w:hAnsi="宋体" w:eastAsia="宋体"/>
      <w:color w:val="000000"/>
      <w:sz w:val="22"/>
      <w:szCs w:val="22"/>
    </w:rPr>
  </w:style>
  <w:style w:type="character" w:customStyle="1" w:styleId="55">
    <w:name w:val="UserStyle_7"/>
    <w:qFormat/>
    <w:uiPriority w:val="0"/>
    <w:rPr>
      <w:rFonts w:ascii="Arial" w:hAnsi="Arial"/>
      <w:sz w:val="18"/>
      <w:szCs w:val="18"/>
    </w:rPr>
  </w:style>
  <w:style w:type="character" w:customStyle="1" w:styleId="56">
    <w:name w:val="UserStyle_8"/>
    <w:basedOn w:val="27"/>
    <w:qFormat/>
    <w:uiPriority w:val="0"/>
    <w:rPr>
      <w:rFonts w:ascii="宋体" w:hAnsi="宋体" w:eastAsia="宋体"/>
      <w:color w:val="000000"/>
      <w:sz w:val="22"/>
      <w:szCs w:val="22"/>
    </w:rPr>
  </w:style>
  <w:style w:type="character" w:customStyle="1" w:styleId="57">
    <w:name w:val="UserStyle_9"/>
    <w:basedOn w:val="27"/>
    <w:qFormat/>
    <w:uiPriority w:val="0"/>
  </w:style>
  <w:style w:type="character" w:customStyle="1" w:styleId="58">
    <w:name w:val="UserStyle_10"/>
    <w:basedOn w:val="27"/>
    <w:qFormat/>
    <w:uiPriority w:val="0"/>
  </w:style>
  <w:style w:type="character" w:customStyle="1" w:styleId="59">
    <w:name w:val="UserStyle_11"/>
    <w:basedOn w:val="27"/>
    <w:qFormat/>
    <w:uiPriority w:val="0"/>
    <w:rPr>
      <w:rFonts w:ascii="PMingLiU" w:hAnsi="PMingLiU" w:eastAsia="PMingLiU"/>
      <w:color w:val="000000"/>
      <w:sz w:val="22"/>
      <w:szCs w:val="22"/>
    </w:rPr>
  </w:style>
  <w:style w:type="paragraph" w:customStyle="1" w:styleId="60">
    <w:name w:val="UserStyle_12"/>
    <w:basedOn w:val="40"/>
    <w:qFormat/>
    <w:uiPriority w:val="0"/>
    <w:pPr>
      <w:spacing w:line="240" w:lineRule="atLeast"/>
    </w:pPr>
    <w:rPr>
      <w:sz w:val="28"/>
    </w:rPr>
  </w:style>
  <w:style w:type="paragraph" w:customStyle="1" w:styleId="61">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qFormat/>
    <w:uiPriority w:val="0"/>
    <w:rPr>
      <w:rFonts w:ascii="Tahoma" w:hAnsi="Tahoma"/>
      <w:sz w:val="24"/>
    </w:rPr>
  </w:style>
  <w:style w:type="paragraph" w:customStyle="1" w:styleId="63">
    <w:name w:val="UserStyle_15"/>
    <w:basedOn w:val="1"/>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qFormat/>
    <w:uiPriority w:val="0"/>
    <w:rPr>
      <w:rFonts w:ascii="Tahoma" w:hAnsi="Tahoma"/>
      <w:sz w:val="24"/>
      <w:szCs w:val="20"/>
    </w:rPr>
  </w:style>
  <w:style w:type="paragraph" w:customStyle="1" w:styleId="65">
    <w:name w:val="UserStyle_17"/>
    <w:basedOn w:val="1"/>
    <w:qFormat/>
    <w:uiPriority w:val="0"/>
    <w:pPr>
      <w:spacing w:line="360" w:lineRule="auto"/>
    </w:pPr>
    <w:rPr>
      <w:kern w:val="0"/>
      <w:sz w:val="24"/>
      <w:szCs w:val="20"/>
    </w:rPr>
  </w:style>
  <w:style w:type="paragraph" w:customStyle="1" w:styleId="66">
    <w:name w:val="UserStyle_18"/>
    <w:basedOn w:val="1"/>
    <w:qFormat/>
    <w:uiPriority w:val="0"/>
    <w:rPr>
      <w:kern w:val="28"/>
      <w:szCs w:val="20"/>
    </w:rPr>
  </w:style>
  <w:style w:type="paragraph" w:customStyle="1" w:styleId="67">
    <w:name w:val="UserStyle_19"/>
    <w:basedOn w:val="1"/>
    <w:qFormat/>
    <w:uiPriority w:val="0"/>
    <w:rPr>
      <w:rFonts w:ascii="Tahoma" w:hAnsi="Tahoma"/>
      <w:sz w:val="24"/>
      <w:szCs w:val="20"/>
    </w:rPr>
  </w:style>
  <w:style w:type="paragraph" w:customStyle="1" w:styleId="68">
    <w:name w:val="UserStyle_20"/>
    <w:basedOn w:val="1"/>
    <w:qFormat/>
    <w:uiPriority w:val="0"/>
    <w:rPr>
      <w:rFonts w:ascii="Tahoma" w:hAnsi="Tahoma"/>
      <w:sz w:val="24"/>
      <w:szCs w:val="20"/>
    </w:rPr>
  </w:style>
  <w:style w:type="paragraph" w:customStyle="1" w:styleId="6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qFormat/>
    <w:uiPriority w:val="0"/>
    <w:pPr>
      <w:ind w:firstLine="420" w:firstLineChars="200"/>
    </w:pPr>
  </w:style>
  <w:style w:type="paragraph" w:customStyle="1" w:styleId="71">
    <w:name w:val="UserStyle_22"/>
    <w:basedOn w:val="1"/>
    <w:qFormat/>
    <w:uiPriority w:val="0"/>
    <w:rPr>
      <w:rFonts w:ascii="Tahoma" w:hAnsi="Tahoma"/>
      <w:sz w:val="24"/>
      <w:szCs w:val="20"/>
    </w:rPr>
  </w:style>
  <w:style w:type="character" w:customStyle="1" w:styleId="72">
    <w:name w:val="UserStyle_23"/>
    <w:basedOn w:val="27"/>
    <w:qFormat/>
    <w:uiPriority w:val="0"/>
    <w:rPr>
      <w:rFonts w:ascii="宋体" w:hAnsi="宋体" w:eastAsia="宋体"/>
      <w:color w:val="000000"/>
      <w:sz w:val="18"/>
      <w:szCs w:val="18"/>
    </w:rPr>
  </w:style>
  <w:style w:type="character" w:customStyle="1" w:styleId="73">
    <w:name w:val="UserStyle_24"/>
    <w:basedOn w:val="27"/>
    <w:qFormat/>
    <w:uiPriority w:val="0"/>
    <w:rPr>
      <w:rFonts w:ascii="宋体" w:hAnsi="宋体" w:eastAsia="宋体"/>
      <w:color w:val="000000"/>
      <w:sz w:val="18"/>
      <w:szCs w:val="18"/>
    </w:rPr>
  </w:style>
  <w:style w:type="paragraph" w:customStyle="1" w:styleId="74">
    <w:name w:val="Table Paragraph"/>
    <w:basedOn w:val="1"/>
    <w:qFormat/>
    <w:uiPriority w:val="1"/>
  </w:style>
  <w:style w:type="table" w:customStyle="1" w:styleId="75">
    <w:name w:val="Table Normal"/>
    <w:semiHidden/>
    <w:unhideWhenUsed/>
    <w:qFormat/>
    <w:uiPriority w:val="2"/>
    <w:tblPr>
      <w:tblCellMar>
        <w:top w:w="0" w:type="dxa"/>
        <w:left w:w="0" w:type="dxa"/>
        <w:bottom w:w="0" w:type="dxa"/>
        <w:right w:w="0" w:type="dxa"/>
      </w:tblCellMar>
    </w:tblPr>
  </w:style>
  <w:style w:type="character" w:customStyle="1" w:styleId="76">
    <w:name w:val="批注文字 字符"/>
    <w:basedOn w:val="21"/>
    <w:link w:val="8"/>
    <w:qFormat/>
    <w:uiPriority w:val="0"/>
    <w:rPr>
      <w:kern w:val="2"/>
      <w:sz w:val="21"/>
      <w:szCs w:val="24"/>
    </w:rPr>
  </w:style>
  <w:style w:type="character" w:customStyle="1" w:styleId="77">
    <w:name w:val="批注主题 字符"/>
    <w:basedOn w:val="76"/>
    <w:link w:val="16"/>
    <w:qFormat/>
    <w:uiPriority w:val="0"/>
    <w:rPr>
      <w:b/>
      <w:bCs/>
      <w:kern w:val="2"/>
      <w:sz w:val="21"/>
      <w:szCs w:val="24"/>
    </w:rPr>
  </w:style>
  <w:style w:type="paragraph" w:customStyle="1" w:styleId="7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Revision"/>
    <w:hidden/>
    <w:unhideWhenUsed/>
    <w:qFormat/>
    <w:uiPriority w:val="99"/>
    <w:rPr>
      <w:rFonts w:ascii="Times New Roman" w:hAnsi="Times New Roman" w:eastAsia="宋体" w:cstheme="minorBidi"/>
      <w:kern w:val="2"/>
      <w:sz w:val="21"/>
      <w:szCs w:val="24"/>
      <w:lang w:val="en-US" w:eastAsia="zh-CN" w:bidi="ar-SA"/>
    </w:rPr>
  </w:style>
  <w:style w:type="character" w:customStyle="1" w:styleId="80">
    <w:name w:val="font81"/>
    <w:basedOn w:val="21"/>
    <w:qFormat/>
    <w:uiPriority w:val="0"/>
    <w:rPr>
      <w:rFonts w:hint="eastAsia" w:ascii="宋体" w:hAnsi="宋体" w:eastAsia="宋体" w:cs="宋体"/>
      <w:color w:val="000000"/>
      <w:sz w:val="28"/>
      <w:szCs w:val="28"/>
      <w:u w:val="none"/>
    </w:rPr>
  </w:style>
  <w:style w:type="character" w:customStyle="1" w:styleId="81">
    <w:name w:val="font71"/>
    <w:basedOn w:val="21"/>
    <w:qFormat/>
    <w:uiPriority w:val="0"/>
    <w:rPr>
      <w:rFonts w:hint="default" w:ascii="PMingLiU" w:hAnsi="PMingLiU" w:eastAsia="PMingLiU" w:cs="PMingLiU"/>
      <w:color w:val="000000"/>
      <w:sz w:val="28"/>
      <w:szCs w:val="28"/>
      <w:u w:val="none"/>
    </w:rPr>
  </w:style>
  <w:style w:type="character" w:customStyle="1" w:styleId="82">
    <w:name w:val="font91"/>
    <w:basedOn w:val="21"/>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6947</Words>
  <Characters>7721</Characters>
  <Lines>51</Lines>
  <Paragraphs>14</Paragraphs>
  <TotalTime>9</TotalTime>
  <ScaleCrop>false</ScaleCrop>
  <LinksUpToDate>false</LinksUpToDate>
  <CharactersWithSpaces>7900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11223.</cp:lastModifiedBy>
  <cp:lastPrinted>2024-02-29T03:30:00Z</cp:lastPrinted>
  <dcterms:modified xsi:type="dcterms:W3CDTF">2024-05-28T01:19:49Z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4918CDD7AF8D4F5DABA6CE3239278304_13</vt:lpwstr>
  </property>
</Properties>
</file>