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福建省建阳兴欣织造</w:t>
      </w: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有限公司</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autoSpaceDE w:val="0"/>
        <w:autoSpaceDN w:val="0"/>
        <w:adjustRightInd w:val="0"/>
        <w:spacing w:line="360" w:lineRule="auto"/>
        <w:jc w:val="left"/>
        <w:rPr>
          <w:rFonts w:ascii="宋体" w:hAnsi="宋体"/>
          <w:b/>
          <w:bCs/>
          <w:sz w:val="30"/>
          <w:szCs w:val="30"/>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840" w:firstLineChars="279"/>
        <w:jc w:val="left"/>
        <w:textAlignment w:val="auto"/>
        <w:rPr>
          <w:rFonts w:hint="default" w:ascii="宋体" w:hAnsi="宋体" w:eastAsia="宋体"/>
          <w:b/>
          <w:bCs/>
          <w:sz w:val="30"/>
          <w:szCs w:val="30"/>
          <w:lang w:val="en-US" w:eastAsia="zh-CN"/>
        </w:rPr>
      </w:pPr>
      <w:r>
        <w:rPr>
          <w:rFonts w:hint="eastAsia" w:ascii="宋体" w:hAnsi="宋体"/>
          <w:b/>
          <w:bCs/>
          <w:sz w:val="30"/>
          <w:szCs w:val="30"/>
        </w:rPr>
        <w:t>项目</w:t>
      </w:r>
      <w:r>
        <w:rPr>
          <w:rFonts w:hint="eastAsia" w:ascii="宋体" w:hAnsi="宋体"/>
          <w:b/>
          <w:bCs/>
          <w:sz w:val="30"/>
          <w:szCs w:val="30"/>
          <w:lang w:val="zh-CN"/>
        </w:rPr>
        <w:t>编号：FJHRWJ20240</w:t>
      </w:r>
      <w:r>
        <w:rPr>
          <w:rFonts w:hint="eastAsia" w:ascii="宋体" w:hAnsi="宋体"/>
          <w:b/>
          <w:bCs/>
          <w:sz w:val="30"/>
          <w:szCs w:val="30"/>
          <w:lang w:val="en-US" w:eastAsia="zh-CN"/>
        </w:rPr>
        <w:t>21</w:t>
      </w:r>
    </w:p>
    <w:p>
      <w:pPr>
        <w:pStyle w:val="17"/>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b/>
          <w:bCs/>
          <w:sz w:val="30"/>
          <w:szCs w:val="30"/>
          <w:lang w:val="zh-CN"/>
        </w:rPr>
      </w:pPr>
      <w:r>
        <w:rPr>
          <w:rFonts w:hint="eastAsia" w:ascii="宋体" w:hAnsi="宋体"/>
          <w:b/>
          <w:bCs/>
          <w:sz w:val="30"/>
          <w:szCs w:val="30"/>
          <w:lang w:val="zh-CN"/>
        </w:rPr>
        <w:t>项目名称：福建省建阳兴欣织造有限公司窗帘轨道及窗帘布采购</w:t>
      </w:r>
    </w:p>
    <w:p>
      <w:pPr>
        <w:pStyle w:val="17"/>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bCs/>
          <w:sz w:val="30"/>
          <w:szCs w:val="30"/>
          <w:lang w:eastAsia="zh-CN"/>
        </w:rPr>
        <w:t>福建省建阳兴欣织造有限公司</w:t>
      </w:r>
    </w:p>
    <w:p/>
    <w:p>
      <w:pPr>
        <w:wordWrap w:val="0"/>
        <w:spacing w:line="360" w:lineRule="auto"/>
        <w:jc w:val="center"/>
        <w:rPr>
          <w:rFonts w:hint="eastAsia" w:ascii="宋体" w:hAnsi="宋体" w:eastAsia="宋体"/>
          <w:b/>
          <w:bCs/>
          <w:sz w:val="30"/>
          <w:szCs w:val="30"/>
          <w:lang w:eastAsia="zh-CN"/>
        </w:rPr>
      </w:pPr>
      <w:r>
        <w:rPr>
          <w:rFonts w:hint="eastAsia" w:ascii="宋体" w:hAnsi="宋体"/>
          <w:b/>
          <w:bCs/>
          <w:sz w:val="30"/>
          <w:szCs w:val="30"/>
          <w:lang w:eastAsia="zh-CN"/>
        </w:rPr>
        <w:t>福建省宏瑞招标代理有限公司</w:t>
      </w:r>
    </w:p>
    <w:p>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五</w:t>
      </w:r>
      <w:r>
        <w:rPr>
          <w:rFonts w:hint="eastAsia" w:ascii="宋体" w:hAnsi="宋体"/>
          <w:b/>
          <w:bCs/>
          <w:sz w:val="30"/>
          <w:szCs w:val="30"/>
        </w:rPr>
        <w:t>月</w:t>
      </w:r>
    </w:p>
    <w:p>
      <w:pPr>
        <w:rPr>
          <w:rFonts w:hint="eastAsia" w:ascii="宋体" w:hAnsi="宋体" w:cs="宋体"/>
          <w:b/>
          <w:bCs/>
          <w:kern w:val="0"/>
          <w:sz w:val="32"/>
          <w:szCs w:val="32"/>
        </w:rPr>
      </w:pPr>
      <w:r>
        <w:rPr>
          <w:rFonts w:hint="eastAsia" w:ascii="宋体" w:hAnsi="宋体" w:cs="宋体"/>
          <w:b/>
          <w:bCs/>
          <w:kern w:val="0"/>
          <w:sz w:val="32"/>
          <w:szCs w:val="3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福建省宏瑞招标代理有限公司</w:t>
      </w:r>
      <w:r>
        <w:rPr>
          <w:rFonts w:hint="eastAsia" w:ascii="宋体" w:hAnsi="宋体" w:cs="宋体"/>
          <w:kern w:val="0"/>
          <w:sz w:val="24"/>
        </w:rPr>
        <w:t>受</w:t>
      </w:r>
      <w:r>
        <w:rPr>
          <w:rFonts w:hint="eastAsia" w:ascii="宋体" w:hAnsi="宋体" w:cs="宋体"/>
          <w:kern w:val="0"/>
          <w:sz w:val="24"/>
          <w:u w:val="single"/>
          <w:lang w:eastAsia="zh-CN"/>
        </w:rPr>
        <w:t>福建省建阳兴欣织造有限公司</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福建省建阳兴欣织造有限公司窗帘轨道及窗帘布采购</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lang w:eastAsia="zh-CN"/>
        </w:rPr>
        <w:t>FJHRWJ2024021</w:t>
      </w:r>
      <w:r>
        <w:rPr>
          <w:rFonts w:hint="eastAsia" w:ascii="宋体" w:hAnsi="宋体" w:cs="宋体"/>
          <w:kern w:val="0"/>
          <w:sz w:val="24"/>
        </w:rPr>
        <w:t xml:space="preserve">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lang w:eastAsia="zh-CN"/>
        </w:rPr>
        <w:t>福建省建阳兴欣织造有限公司窗帘轨道及窗帘布采购</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w:t>
      </w:r>
      <w:r>
        <w:rPr>
          <w:rFonts w:hint="eastAsia" w:ascii="宋体" w:hAnsi="宋体"/>
          <w:b w:val="0"/>
          <w:bCs/>
          <w:sz w:val="24"/>
        </w:rPr>
        <w:t>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rPr>
      </w:pPr>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日9:00:00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日17:00:00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21</w:t>
      </w:r>
      <w:r>
        <w:rPr>
          <w:rFonts w:hint="eastAsia" w:ascii="宋体" w:hAnsi="宋体" w:cs="宋体"/>
          <w:color w:val="auto"/>
          <w:kern w:val="0"/>
          <w:sz w:val="24"/>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yellow"/>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6"/>
        </w:rPr>
      </w:pPr>
      <w:r>
        <w:rPr>
          <w:rStyle w:val="26"/>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3000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hint="eastAsia" w:ascii="宋体" w:hAnsi="宋体" w:cs="宋体"/>
          <w:sz w:val="24"/>
          <w:lang w:eastAsia="zh-CN"/>
        </w:rPr>
      </w:pPr>
      <w:r>
        <w:rPr>
          <w:rFonts w:hint="eastAsia" w:ascii="宋体" w:hAnsi="宋体" w:cs="宋体"/>
          <w:sz w:val="24"/>
        </w:rPr>
        <w:t>开 户 名：</w:t>
      </w:r>
      <w:r>
        <w:rPr>
          <w:rFonts w:hint="eastAsia" w:ascii="宋体" w:hAnsi="宋体" w:cs="宋体"/>
          <w:sz w:val="24"/>
          <w:lang w:eastAsia="zh-CN"/>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福建省建阳兴欣织造有限公司</w:t>
      </w:r>
      <w:r>
        <w:rPr>
          <w:rFonts w:hint="eastAsia" w:ascii="宋体" w:hAnsi="宋体"/>
          <w:sz w:val="24"/>
        </w:rPr>
        <w:t xml:space="preserve"> </w:t>
      </w:r>
    </w:p>
    <w:p>
      <w:pPr>
        <w:spacing w:line="360" w:lineRule="auto"/>
        <w:ind w:firstLine="480" w:firstLineChars="200"/>
        <w:rPr>
          <w:rFonts w:ascii="宋体" w:hAnsi="宋体"/>
          <w:color w:val="FF0000"/>
          <w:sz w:val="24"/>
        </w:rPr>
      </w:pPr>
      <w:r>
        <w:rPr>
          <w:rFonts w:hint="eastAsia" w:ascii="宋体" w:hAnsi="宋体"/>
          <w:sz w:val="24"/>
        </w:rPr>
        <w:t>地  址：南平建阳区曼头山7号</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s="Times New Roman"/>
          <w:color w:val="000000" w:themeColor="text1"/>
          <w:sz w:val="24"/>
          <w14:textFill>
            <w14:solidFill>
              <w14:schemeClr w14:val="tx1"/>
            </w14:solidFill>
          </w14:textFill>
        </w:rPr>
        <w:t>系人及电话：</w:t>
      </w:r>
      <w:r>
        <w:rPr>
          <w:rFonts w:hint="eastAsia" w:ascii="宋体" w:hAnsi="宋体"/>
          <w:color w:val="000000" w:themeColor="text1"/>
          <w:sz w:val="24"/>
          <w14:textFill>
            <w14:solidFill>
              <w14:schemeClr w14:val="tx1"/>
            </w14:solidFill>
          </w14:textFill>
        </w:rPr>
        <w:t>暨先生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lang w:eastAsia="zh-CN"/>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cs="宋体"/>
          <w:sz w:val="24"/>
          <w:lang w:eastAsia="zh-CN"/>
        </w:rPr>
        <w:t>福建省宏瑞招标代理有限公司</w:t>
      </w:r>
      <w:r>
        <w:rPr>
          <w:rFonts w:hint="eastAsia" w:ascii="宋体" w:hAnsi="宋体" w:cs="宋体"/>
          <w:sz w:val="24"/>
        </w:rPr>
        <w:t>将通过以下媒介发布通知，请潜在供应商随时关注相关网站，以免错漏重要信息。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default" w:eastAsia="宋体"/>
          <w:highlight w:val="none"/>
          <w:lang w:val="en-US" w:eastAsia="zh-CN"/>
        </w:rPr>
      </w:pPr>
      <w:r>
        <w:rPr>
          <w:rFonts w:hint="eastAsia"/>
          <w:b w:val="0"/>
          <w:kern w:val="2"/>
          <w:sz w:val="24"/>
          <w:szCs w:val="24"/>
          <w:highlight w:val="none"/>
          <w:lang w:eastAsia="zh-CN"/>
        </w:rPr>
        <w:t>福建省国资平台</w:t>
      </w:r>
      <w:r>
        <w:rPr>
          <w:rFonts w:hint="eastAsia"/>
          <w:b w:val="0"/>
          <w:kern w:val="2"/>
          <w:sz w:val="24"/>
          <w:szCs w:val="24"/>
          <w:highlight w:val="none"/>
          <w:lang w:val="en-US" w:eastAsia="zh-CN"/>
        </w:rPr>
        <w:t>(</w:t>
      </w:r>
      <w:r>
        <w:rPr>
          <w:rFonts w:hint="eastAsia"/>
          <w:b w:val="0"/>
          <w:kern w:val="2"/>
          <w:sz w:val="24"/>
          <w:szCs w:val="24"/>
          <w:highlight w:val="none"/>
          <w:lang w:eastAsia="zh-CN"/>
        </w:rPr>
        <w:t>https://ygcg.fjcqjy.com</w:t>
      </w:r>
      <w:r>
        <w:rPr>
          <w:rFonts w:hint="eastAsia"/>
          <w:b w:val="0"/>
          <w:kern w:val="2"/>
          <w:sz w:val="24"/>
          <w:szCs w:val="24"/>
          <w:highlight w:val="none"/>
          <w:lang w:val="en-US" w:eastAsia="zh-CN"/>
        </w:rPr>
        <w:t>)</w:t>
      </w:r>
      <w:r>
        <w:rPr>
          <w:rFonts w:hint="eastAsia"/>
          <w:b w:val="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b w:val="0"/>
          <w:kern w:val="2"/>
          <w:sz w:val="24"/>
          <w:szCs w:val="24"/>
        </w:rPr>
      </w:pPr>
      <w:r>
        <w:rPr>
          <w:rFonts w:hint="eastAsia"/>
          <w:b w:val="0"/>
          <w:kern w:val="2"/>
          <w:sz w:val="24"/>
          <w:szCs w:val="24"/>
          <w:lang w:eastAsia="zh-CN"/>
        </w:rPr>
        <w:t>福建省宏瑞招标代理有限公司</w:t>
      </w:r>
      <w:r>
        <w:rPr>
          <w:rFonts w:hint="eastAsia"/>
          <w:b w:val="0"/>
          <w:kern w:val="2"/>
          <w:sz w:val="24"/>
          <w:szCs w:val="24"/>
        </w:rPr>
        <w:t>(http://www.fjhongrui.com )。</w:t>
      </w:r>
    </w:p>
    <w:p/>
    <w:p>
      <w:pPr>
        <w:pStyle w:val="9"/>
      </w:pPr>
    </w:p>
    <w:p/>
    <w:p>
      <w:pPr>
        <w:pStyle w:val="9"/>
      </w:pPr>
    </w:p>
    <w:p/>
    <w:p>
      <w:pPr>
        <w:pStyle w:val="9"/>
      </w:pPr>
    </w:p>
    <w:p/>
    <w:p>
      <w:pPr>
        <w:pStyle w:val="9"/>
      </w:pPr>
    </w:p>
    <w:p/>
    <w:p>
      <w:pPr>
        <w:pStyle w:val="9"/>
      </w:pPr>
    </w:p>
    <w:p/>
    <w:p>
      <w:pPr>
        <w:pStyle w:val="9"/>
      </w:pPr>
    </w:p>
    <w:p/>
    <w:p>
      <w:pPr>
        <w:pStyle w:val="9"/>
      </w:pPr>
    </w:p>
    <w:p/>
    <w:p>
      <w:pPr>
        <w:pStyle w:val="9"/>
      </w:pPr>
    </w:p>
    <w:p/>
    <w:p/>
    <w:p/>
    <w:p/>
    <w:p/>
    <w:p/>
    <w:p/>
    <w:p/>
    <w:p>
      <w:pPr>
        <w:pStyle w:val="17"/>
      </w:pPr>
    </w:p>
    <w:p>
      <w:pPr>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outlineLvl w:val="0"/>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7"/>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hint="eastAsia" w:ascii="宋体" w:hAnsi="宋体"/>
          <w:kern w:val="0"/>
          <w:sz w:val="24"/>
        </w:rPr>
        <w:t>福建省宏瑞招标代理有限公司</w:t>
      </w:r>
      <w:r>
        <w:rPr>
          <w:rStyle w:val="26"/>
          <w:rFonts w:ascii="宋体" w:hAnsi="宋体"/>
          <w:kern w:val="0"/>
          <w:sz w:val="24"/>
        </w:rPr>
        <w:t>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w:t>
      </w:r>
      <w:r>
        <w:rPr>
          <w:rStyle w:val="26"/>
          <w:rFonts w:hint="eastAsia" w:ascii="宋体" w:hAnsi="宋体"/>
          <w:kern w:val="0"/>
          <w:sz w:val="24"/>
        </w:rPr>
        <w:t>招标</w:t>
      </w:r>
      <w:r>
        <w:rPr>
          <w:rStyle w:val="26"/>
          <w:rFonts w:ascii="宋体" w:hAnsi="宋体"/>
          <w:kern w:val="0"/>
          <w:sz w:val="24"/>
        </w:rPr>
        <w:t>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w:t>
      </w:r>
      <w:r>
        <w:rPr>
          <w:rStyle w:val="21"/>
          <w:rFonts w:hint="eastAsia"/>
          <w:sz w:val="24"/>
        </w:rPr>
        <w:t>报名审核不合格，视为无效响应：</w:t>
      </w:r>
    </w:p>
    <w:p>
      <w:pPr>
        <w:pStyle w:val="27"/>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w:t>
      </w:r>
      <w:r>
        <w:rPr>
          <w:rStyle w:val="26"/>
          <w:rFonts w:hint="eastAsia" w:ascii="宋体" w:hAnsi="宋体"/>
          <w:b/>
          <w:bCs/>
          <w:kern w:val="0"/>
          <w:sz w:val="24"/>
          <w:u w:val="single"/>
        </w:rPr>
        <w:t>供应商</w:t>
      </w:r>
      <w:r>
        <w:rPr>
          <w:rStyle w:val="26"/>
          <w:rFonts w:ascii="宋体" w:hAnsi="宋体"/>
          <w:b/>
          <w:bCs/>
          <w:kern w:val="0"/>
          <w:sz w:val="24"/>
          <w:u w:val="single"/>
        </w:rPr>
        <w:t>首次提交的报价</w:t>
      </w:r>
      <w:r>
        <w:rPr>
          <w:rStyle w:val="26"/>
          <w:rFonts w:hint="eastAsia" w:ascii="宋体" w:hAnsi="宋体"/>
          <w:b/>
          <w:bCs/>
          <w:kern w:val="0"/>
          <w:sz w:val="24"/>
          <w:u w:val="single"/>
        </w:rPr>
        <w:t>总价</w:t>
      </w:r>
      <w:r>
        <w:rPr>
          <w:rStyle w:val="26"/>
          <w:rFonts w:ascii="宋体" w:hAnsi="宋体"/>
          <w:b/>
          <w:bCs/>
          <w:kern w:val="0"/>
          <w:sz w:val="24"/>
          <w:u w:val="single"/>
        </w:rPr>
        <w:t>须</w:t>
      </w:r>
      <w:r>
        <w:rPr>
          <w:rStyle w:val="26"/>
          <w:rFonts w:hint="eastAsia" w:ascii="宋体" w:hAnsi="宋体"/>
          <w:b/>
          <w:bCs/>
          <w:kern w:val="0"/>
          <w:sz w:val="24"/>
          <w:u w:val="single"/>
        </w:rPr>
        <w:t>低于</w:t>
      </w:r>
      <w:r>
        <w:rPr>
          <w:rStyle w:val="26"/>
          <w:rFonts w:ascii="宋体" w:hAnsi="宋体"/>
          <w:b/>
          <w:bCs/>
          <w:kern w:val="0"/>
          <w:sz w:val="24"/>
          <w:u w:val="single"/>
        </w:rPr>
        <w:t>本项目</w:t>
      </w:r>
      <w:r>
        <w:rPr>
          <w:rStyle w:val="26"/>
          <w:rFonts w:hint="eastAsia" w:ascii="宋体" w:hAnsi="宋体"/>
          <w:b/>
          <w:bCs/>
          <w:kern w:val="0"/>
          <w:sz w:val="24"/>
          <w:u w:val="single"/>
        </w:rPr>
        <w:t>总价</w:t>
      </w:r>
      <w:r>
        <w:rPr>
          <w:rStyle w:val="26"/>
          <w:rFonts w:ascii="宋体" w:hAnsi="宋体"/>
          <w:b/>
          <w:bCs/>
          <w:kern w:val="0"/>
          <w:sz w:val="24"/>
          <w:u w:val="single"/>
        </w:rPr>
        <w:t>最高限价</w:t>
      </w:r>
      <w:r>
        <w:rPr>
          <w:rStyle w:val="26"/>
          <w:rFonts w:hint="eastAsia" w:ascii="宋体" w:hAnsi="宋体"/>
          <w:b/>
          <w:bCs/>
          <w:kern w:val="0"/>
          <w:sz w:val="24"/>
          <w:u w:val="single"/>
        </w:rPr>
        <w:t>的</w:t>
      </w:r>
      <w:r>
        <w:rPr>
          <w:rStyle w:val="26"/>
          <w:rFonts w:ascii="宋体" w:hAnsi="宋体"/>
          <w:b/>
          <w:bCs/>
          <w:kern w:val="0"/>
          <w:sz w:val="24"/>
          <w:u w:val="single"/>
        </w:rPr>
        <w:t>3%</w:t>
      </w:r>
      <w:r>
        <w:rPr>
          <w:rStyle w:val="26"/>
          <w:rFonts w:hint="eastAsia" w:ascii="宋体" w:hAnsi="宋体"/>
          <w:b/>
          <w:bCs/>
          <w:kern w:val="0"/>
          <w:sz w:val="24"/>
          <w:u w:val="single"/>
        </w:rPr>
        <w:t>以上（不含</w:t>
      </w:r>
      <w:r>
        <w:rPr>
          <w:rStyle w:val="26"/>
          <w:rFonts w:ascii="宋体" w:hAnsi="宋体"/>
          <w:b/>
          <w:bCs/>
          <w:kern w:val="0"/>
          <w:sz w:val="24"/>
          <w:u w:val="single"/>
        </w:rPr>
        <w:t>3%</w:t>
      </w:r>
      <w:r>
        <w:rPr>
          <w:rStyle w:val="26"/>
          <w:rFonts w:hint="eastAsia" w:ascii="宋体" w:hAnsi="宋体"/>
          <w:b/>
          <w:bCs/>
          <w:kern w:val="0"/>
          <w:sz w:val="24"/>
          <w:u w:val="single"/>
        </w:rPr>
        <w:t>）</w:t>
      </w:r>
      <w:r>
        <w:rPr>
          <w:rStyle w:val="26"/>
          <w:rFonts w:ascii="宋体" w:hAnsi="宋体"/>
          <w:b/>
          <w:bCs/>
          <w:kern w:val="0"/>
          <w:sz w:val="24"/>
          <w:u w:val="single"/>
        </w:rPr>
        <w:t>，否则</w:t>
      </w:r>
      <w:r>
        <w:rPr>
          <w:rStyle w:val="26"/>
          <w:rFonts w:ascii="宋体" w:hAnsi="宋体" w:cs="宋体"/>
          <w:b/>
          <w:bCs/>
          <w:kern w:val="0"/>
          <w:sz w:val="24"/>
          <w:u w:val="single"/>
        </w:rPr>
        <w:t>视为无效报价</w:t>
      </w:r>
      <w:r>
        <w:rPr>
          <w:rStyle w:val="26"/>
          <w:rFonts w:ascii="宋体" w:hAnsi="宋体"/>
          <w:b/>
          <w:bCs/>
          <w:kern w:val="0"/>
          <w:sz w:val="24"/>
          <w:u w:val="single"/>
        </w:rPr>
        <w:t>。在</w:t>
      </w:r>
      <w:r>
        <w:rPr>
          <w:rStyle w:val="26"/>
          <w:rFonts w:hint="eastAsia" w:ascii="宋体" w:hAnsi="宋体"/>
          <w:b/>
          <w:bCs/>
          <w:kern w:val="0"/>
          <w:sz w:val="24"/>
          <w:u w:val="single"/>
        </w:rPr>
        <w:t>网上竞价时间</w:t>
      </w:r>
      <w:r>
        <w:rPr>
          <w:rStyle w:val="26"/>
          <w:rFonts w:ascii="宋体" w:hAnsi="宋体"/>
          <w:b/>
          <w:bCs/>
          <w:kern w:val="0"/>
          <w:sz w:val="24"/>
          <w:u w:val="single"/>
        </w:rPr>
        <w:t>内</w:t>
      </w:r>
      <w:r>
        <w:rPr>
          <w:rStyle w:val="26"/>
          <w:rFonts w:hint="eastAsia" w:ascii="宋体" w:hAnsi="宋体"/>
          <w:b/>
          <w:bCs/>
          <w:kern w:val="0"/>
          <w:sz w:val="24"/>
          <w:u w:val="single"/>
        </w:rPr>
        <w:t>、同一供应商有</w:t>
      </w:r>
      <w:r>
        <w:rPr>
          <w:rStyle w:val="26"/>
          <w:rFonts w:ascii="宋体" w:hAnsi="宋体"/>
          <w:b/>
          <w:bCs/>
          <w:kern w:val="0"/>
          <w:sz w:val="24"/>
          <w:u w:val="single"/>
        </w:rPr>
        <w:t>多次报价的</w:t>
      </w:r>
      <w:r>
        <w:rPr>
          <w:rStyle w:val="26"/>
          <w:rFonts w:hint="eastAsia" w:ascii="宋体" w:hAnsi="宋体"/>
          <w:b/>
          <w:bCs/>
          <w:kern w:val="0"/>
          <w:sz w:val="24"/>
          <w:u w:val="single"/>
        </w:rPr>
        <w:t>情况下</w:t>
      </w:r>
      <w:r>
        <w:rPr>
          <w:rStyle w:val="26"/>
          <w:rFonts w:ascii="宋体" w:hAnsi="宋体"/>
          <w:b/>
          <w:bCs/>
          <w:kern w:val="0"/>
          <w:sz w:val="24"/>
          <w:u w:val="single"/>
        </w:rPr>
        <w:t>，</w:t>
      </w:r>
      <w:r>
        <w:rPr>
          <w:rStyle w:val="26"/>
          <w:rFonts w:hint="eastAsia" w:ascii="宋体" w:hAnsi="宋体"/>
          <w:b/>
          <w:bCs/>
          <w:kern w:val="0"/>
          <w:sz w:val="24"/>
          <w:u w:val="single"/>
        </w:rPr>
        <w:t>则该供应商的每一次</w:t>
      </w:r>
      <w:r>
        <w:rPr>
          <w:rStyle w:val="26"/>
          <w:rFonts w:ascii="宋体" w:hAnsi="宋体"/>
          <w:b/>
          <w:bCs/>
          <w:kern w:val="0"/>
          <w:sz w:val="24"/>
          <w:u w:val="single"/>
        </w:rPr>
        <w:t>报价金额必须小于自己上一次的报价金额，</w:t>
      </w:r>
      <w:r>
        <w:rPr>
          <w:rStyle w:val="26"/>
          <w:rFonts w:hint="eastAsia" w:ascii="宋体" w:hAnsi="宋体"/>
          <w:b/>
          <w:bCs/>
          <w:kern w:val="0"/>
          <w:sz w:val="24"/>
          <w:u w:val="single"/>
        </w:rPr>
        <w:t>同时以该供应商</w:t>
      </w:r>
      <w:r>
        <w:rPr>
          <w:rStyle w:val="26"/>
          <w:rFonts w:ascii="宋体" w:hAnsi="宋体"/>
          <w:b/>
          <w:bCs/>
          <w:kern w:val="0"/>
          <w:sz w:val="24"/>
          <w:u w:val="single"/>
        </w:rPr>
        <w:t>提交的最后一次报价作为</w:t>
      </w:r>
      <w:r>
        <w:rPr>
          <w:rStyle w:val="26"/>
          <w:rFonts w:hint="eastAsia" w:ascii="宋体" w:hAnsi="宋体"/>
          <w:b/>
          <w:bCs/>
          <w:kern w:val="0"/>
          <w:sz w:val="24"/>
          <w:u w:val="single"/>
        </w:rPr>
        <w:t>其最终有效报价</w:t>
      </w:r>
      <w:r>
        <w:rPr>
          <w:rStyle w:val="26"/>
          <w:rFonts w:ascii="宋体" w:hAnsi="宋体"/>
          <w:b/>
          <w:bCs/>
          <w:kern w:val="0"/>
          <w:sz w:val="24"/>
          <w:u w:val="single"/>
        </w:rPr>
        <w:t>。</w:t>
      </w:r>
      <w:r>
        <w:rPr>
          <w:rStyle w:val="26"/>
          <w:rFonts w:hint="eastAsia" w:ascii="宋体" w:hAnsi="宋体"/>
          <w:b/>
          <w:bCs/>
          <w:kern w:val="0"/>
          <w:sz w:val="24"/>
          <w:u w:val="single"/>
        </w:rPr>
        <w:t>投标人所报单价和合同包总价不得超过其对应的最高限价，否则响应无效。</w:t>
      </w:r>
      <w:bookmarkStart w:id="37" w:name="_GoBack"/>
      <w:bookmarkEnd w:id="37"/>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9"/>
        <w:rPr>
          <w:b/>
          <w:bCs/>
          <w:color w:val="auto"/>
          <w:sz w:val="24"/>
          <w:u w:val="single"/>
        </w:rPr>
      </w:pPr>
      <w:bookmarkStart w:id="1" w:name="_Toc358016816"/>
      <w:bookmarkStart w:id="2" w:name="_Toc359317661"/>
      <w:bookmarkStart w:id="3" w:name="_Toc327948617"/>
      <w:bookmarkStart w:id="4" w:name="_Toc346300367"/>
      <w:bookmarkStart w:id="5" w:name="_Toc330567034"/>
      <w:bookmarkStart w:id="6" w:name="_Toc347060296"/>
      <w:r>
        <w:rPr>
          <w:rFonts w:hint="eastAsia"/>
          <w:color w:val="auto"/>
          <w:sz w:val="24"/>
        </w:rPr>
        <w:t>★</w:t>
      </w:r>
      <w:r>
        <w:rPr>
          <w:rFonts w:hint="eastAsia"/>
          <w:b/>
          <w:bCs/>
          <w:color w:val="auto"/>
          <w:sz w:val="24"/>
          <w:u w:val="single"/>
        </w:rPr>
        <w:t>注：本章所有条款均为不允许负偏离的实质性要求，有负偏离的响应无效。</w:t>
      </w:r>
    </w:p>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textAlignment w:val="auto"/>
        <w:outlineLvl w:val="9"/>
        <w:rPr>
          <w:rFonts w:ascii="宋体" w:hAnsi="宋体" w:cs="宋体"/>
          <w:b/>
          <w:color w:val="auto"/>
          <w:sz w:val="24"/>
        </w:rPr>
      </w:pPr>
      <w:r>
        <w:rPr>
          <w:rFonts w:hint="eastAsia" w:ascii="宋体" w:hAnsi="宋体" w:cs="宋体"/>
          <w:b/>
          <w:color w:val="auto"/>
          <w:sz w:val="24"/>
        </w:rPr>
        <w:t>一、项目概述</w:t>
      </w:r>
      <w:bookmarkEnd w:id="1"/>
      <w:bookmarkEnd w:id="2"/>
    </w:p>
    <w:p>
      <w:pPr>
        <w:pStyle w:val="28"/>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rPr>
        <w:t>货物类</w:t>
      </w: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8"/>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863"/>
        <w:gridCol w:w="2725"/>
        <w:gridCol w:w="1625"/>
        <w:gridCol w:w="1293"/>
        <w:gridCol w:w="131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423" w:type="pct"/>
            <w:tcBorders>
              <w:top w:val="single" w:color="auto" w:sz="4" w:space="0"/>
              <w:left w:val="single" w:color="auto" w:sz="4" w:space="0"/>
              <w:bottom w:val="single" w:color="auto" w:sz="4" w:space="0"/>
              <w:right w:val="single" w:color="auto" w:sz="4" w:space="0"/>
            </w:tcBorders>
            <w:vAlign w:val="center"/>
          </w:tcPr>
          <w:p>
            <w:pPr>
              <w:spacing w:line="360" w:lineRule="auto"/>
              <w:ind w:left="-199" w:leftChars="-95" w:right="-250" w:rightChars="-119" w:firstLine="0" w:firstLineChars="0"/>
              <w:jc w:val="center"/>
              <w:rPr>
                <w:rFonts w:ascii="宋体" w:hAnsi="宋体"/>
                <w:b/>
                <w:bCs/>
                <w:color w:val="auto"/>
                <w:kern w:val="0"/>
                <w:sz w:val="24"/>
              </w:rPr>
            </w:pPr>
            <w:r>
              <w:rPr>
                <w:rFonts w:hint="eastAsia" w:ascii="宋体" w:hAnsi="宋体"/>
                <w:b/>
                <w:bCs/>
                <w:color w:val="auto"/>
                <w:kern w:val="0"/>
                <w:sz w:val="24"/>
              </w:rPr>
              <w:t>品目号</w:t>
            </w:r>
          </w:p>
        </w:tc>
        <w:tc>
          <w:tcPr>
            <w:tcW w:w="13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货物名称</w:t>
            </w:r>
          </w:p>
        </w:tc>
        <w:tc>
          <w:tcPr>
            <w:tcW w:w="7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lang w:eastAsia="zh-CN"/>
              </w:rPr>
              <w:t>预估</w:t>
            </w:r>
            <w:r>
              <w:rPr>
                <w:rFonts w:hint="eastAsia" w:ascii="宋体" w:hAnsi="宋体"/>
                <w:b/>
                <w:bCs/>
                <w:color w:val="auto"/>
                <w:kern w:val="0"/>
                <w:sz w:val="24"/>
                <w:szCs w:val="22"/>
              </w:rPr>
              <w:t>数量</w:t>
            </w:r>
          </w:p>
        </w:tc>
        <w:tc>
          <w:tcPr>
            <w:tcW w:w="6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bCs/>
                <w:color w:val="auto"/>
                <w:kern w:val="0"/>
                <w:sz w:val="24"/>
                <w:szCs w:val="22"/>
                <w:lang w:eastAsia="zh-CN"/>
              </w:rPr>
            </w:pPr>
            <w:r>
              <w:rPr>
                <w:rFonts w:hint="eastAsia" w:ascii="宋体" w:hAnsi="宋体"/>
                <w:b/>
                <w:bCs/>
                <w:color w:val="auto"/>
                <w:kern w:val="0"/>
                <w:sz w:val="24"/>
                <w:szCs w:val="22"/>
                <w:lang w:eastAsia="zh-CN"/>
              </w:rPr>
              <w:t>单价最高限价</w:t>
            </w:r>
          </w:p>
          <w:p>
            <w:pPr>
              <w:spacing w:line="360" w:lineRule="auto"/>
              <w:jc w:val="center"/>
              <w:rPr>
                <w:rFonts w:hint="eastAsia" w:ascii="宋体" w:hAnsi="宋体" w:eastAsia="宋体"/>
                <w:b/>
                <w:bCs/>
                <w:color w:val="auto"/>
                <w:kern w:val="0"/>
                <w:sz w:val="24"/>
                <w:szCs w:val="22"/>
                <w:lang w:eastAsia="zh-CN"/>
              </w:rPr>
            </w:pPr>
            <w:r>
              <w:rPr>
                <w:rFonts w:hint="eastAsia" w:ascii="宋体" w:hAnsi="宋体"/>
                <w:b/>
                <w:bCs/>
                <w:color w:val="auto"/>
                <w:kern w:val="0"/>
                <w:sz w:val="24"/>
                <w:szCs w:val="22"/>
                <w:lang w:eastAsia="zh-CN"/>
              </w:rPr>
              <w:t>（元</w:t>
            </w:r>
            <w:r>
              <w:rPr>
                <w:rFonts w:hint="eastAsia" w:ascii="宋体" w:hAnsi="宋体"/>
                <w:b/>
                <w:bCs/>
                <w:color w:val="auto"/>
                <w:kern w:val="0"/>
                <w:sz w:val="24"/>
                <w:szCs w:val="22"/>
                <w:lang w:val="en-US" w:eastAsia="zh-CN"/>
              </w:rPr>
              <w:t>/</w:t>
            </w:r>
            <w:r>
              <w:rPr>
                <w:rFonts w:hint="eastAsia" w:ascii="宋体" w:hAnsi="宋体"/>
                <w:b/>
                <w:bCs/>
                <w:color w:val="auto"/>
                <w:kern w:val="0"/>
                <w:sz w:val="24"/>
                <w:szCs w:val="22"/>
                <w:lang w:eastAsia="zh-CN"/>
              </w:rPr>
              <w:t>米）</w:t>
            </w:r>
          </w:p>
        </w:tc>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品目号</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c>
          <w:tcPr>
            <w:tcW w:w="6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合同包</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90" w:type="pc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w:t>
            </w:r>
          </w:p>
        </w:tc>
        <w:tc>
          <w:tcPr>
            <w:tcW w:w="4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1-1</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窗帘轨道及窗帘布采购</w:t>
            </w:r>
          </w:p>
        </w:tc>
        <w:tc>
          <w:tcPr>
            <w:tcW w:w="797" w:type="pct"/>
            <w:tcBorders>
              <w:top w:val="single" w:color="auto" w:sz="4" w:space="0"/>
              <w:left w:val="single" w:color="auto" w:sz="4" w:space="0"/>
              <w:right w:val="single" w:color="auto" w:sz="4" w:space="0"/>
            </w:tcBorders>
            <w:vAlign w:val="center"/>
          </w:tcPr>
          <w:p>
            <w:pPr>
              <w:widowControl/>
              <w:spacing w:line="360" w:lineRule="auto"/>
              <w:ind w:left="0" w:leftChars="0" w:firstLine="0" w:firstLineChars="0"/>
              <w:jc w:val="center"/>
              <w:textAlignment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2000米</w:t>
            </w:r>
          </w:p>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000000" w:themeColor="text1"/>
                <w:kern w:val="0"/>
                <w:sz w:val="24"/>
                <w:highlight w:val="none"/>
                <w14:textFill>
                  <w14:solidFill>
                    <w14:schemeClr w14:val="tx1"/>
                  </w14:solidFill>
                </w14:textFill>
              </w:rPr>
              <w:t>（按实结算）</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160</w:t>
            </w:r>
          </w:p>
        </w:tc>
        <w:tc>
          <w:tcPr>
            <w:tcW w:w="64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320000</w:t>
            </w:r>
          </w:p>
        </w:tc>
        <w:tc>
          <w:tcPr>
            <w:tcW w:w="670"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rPr>
            </w:pPr>
            <w:r>
              <w:rPr>
                <w:rFonts w:hint="eastAsia" w:ascii="宋体" w:hAnsi="宋体" w:cs="新宋体"/>
                <w:color w:val="auto"/>
                <w:kern w:val="0"/>
                <w:sz w:val="24"/>
                <w:highlight w:val="none"/>
                <w:lang w:val="en-US" w:eastAsia="zh-CN"/>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kern w:val="0"/>
                <w:sz w:val="24"/>
              </w:rPr>
            </w:pPr>
            <w:r>
              <w:rPr>
                <w:rFonts w:hint="eastAsia" w:ascii="宋体" w:hAnsi="宋体"/>
                <w:color w:val="auto"/>
                <w:kern w:val="0"/>
                <w:sz w:val="24"/>
              </w:rPr>
              <w:t>备注：</w:t>
            </w:r>
          </w:p>
          <w:p>
            <w:pPr>
              <w:numPr>
                <w:ilvl w:val="0"/>
                <w:numId w:val="0"/>
              </w:numPr>
              <w:spacing w:line="360" w:lineRule="auto"/>
              <w:rPr>
                <w:rFonts w:hint="eastAsia" w:ascii="宋体" w:hAnsi="宋体"/>
                <w:color w:val="auto"/>
                <w:kern w:val="0"/>
                <w:sz w:val="24"/>
              </w:rPr>
            </w:pPr>
            <w:r>
              <w:rPr>
                <w:rFonts w:hint="eastAsia" w:ascii="宋体" w:hAnsi="宋体" w:eastAsia="宋体" w:cs="Times New Roman"/>
                <w:color w:val="auto"/>
                <w:kern w:val="0"/>
                <w:sz w:val="24"/>
                <w:szCs w:val="24"/>
                <w:lang w:val="en-US" w:eastAsia="zh-CN" w:bidi="ar-SA"/>
              </w:rPr>
              <w:t>1.</w:t>
            </w:r>
            <w:r>
              <w:rPr>
                <w:rFonts w:hint="eastAsia" w:ascii="宋体" w:hAnsi="宋体"/>
                <w:color w:val="auto"/>
                <w:kern w:val="0"/>
                <w:sz w:val="24"/>
              </w:rPr>
              <w:t>供应商的</w:t>
            </w:r>
            <w:r>
              <w:rPr>
                <w:rFonts w:hint="eastAsia" w:ascii="宋体" w:hAnsi="宋体"/>
                <w:color w:val="auto"/>
                <w:kern w:val="0"/>
                <w:sz w:val="24"/>
                <w:lang w:eastAsia="zh-CN"/>
              </w:rPr>
              <w:t>单价报价应为包干价，至少</w:t>
            </w:r>
            <w:r>
              <w:rPr>
                <w:rFonts w:hint="eastAsia" w:ascii="宋体" w:hAnsi="宋体"/>
                <w:color w:val="auto"/>
                <w:kern w:val="0"/>
                <w:sz w:val="24"/>
              </w:rPr>
              <w:t>包含有</w:t>
            </w:r>
            <w:r>
              <w:rPr>
                <w:rFonts w:hint="eastAsia" w:ascii="宋体" w:hAnsi="宋体"/>
                <w:color w:val="auto"/>
                <w:kern w:val="0"/>
                <w:sz w:val="24"/>
                <w:highlight w:val="none"/>
                <w:lang w:eastAsia="zh-CN"/>
              </w:rPr>
              <w:t>轨道、高精度半遮光窗帘布两倍褶皱、配件、</w:t>
            </w:r>
            <w:r>
              <w:rPr>
                <w:rFonts w:hint="eastAsia" w:ascii="宋体" w:hAnsi="宋体"/>
                <w:color w:val="auto"/>
                <w:kern w:val="0"/>
                <w:sz w:val="24"/>
              </w:rPr>
              <w:t>税费、货物生产、制造、包装、运输、人工、安装调试费及安装所需的辅料、验收、保修、退换货等履行本项目所</w:t>
            </w:r>
            <w:r>
              <w:rPr>
                <w:rFonts w:hint="eastAsia" w:ascii="宋体" w:hAnsi="宋体"/>
                <w:color w:val="auto"/>
                <w:kern w:val="0"/>
                <w:sz w:val="24"/>
                <w:lang w:val="en-US" w:eastAsia="zh-CN"/>
              </w:rPr>
              <w:t>需的</w:t>
            </w:r>
            <w:r>
              <w:rPr>
                <w:rFonts w:hint="eastAsia" w:ascii="宋体" w:hAnsi="宋体"/>
                <w:color w:val="auto"/>
                <w:kern w:val="0"/>
                <w:sz w:val="24"/>
              </w:rPr>
              <w:t>所有费用。</w:t>
            </w:r>
          </w:p>
          <w:p>
            <w:pPr>
              <w:numPr>
                <w:ilvl w:val="0"/>
                <w:numId w:val="0"/>
              </w:numPr>
              <w:spacing w:line="360" w:lineRule="auto"/>
              <w:rPr>
                <w:rFonts w:hint="eastAsia" w:ascii="宋体" w:hAnsi="宋体"/>
                <w:color w:val="auto"/>
                <w:kern w:val="0"/>
                <w:sz w:val="24"/>
                <w:lang w:val="en-US" w:eastAsia="zh-CN"/>
              </w:rPr>
            </w:pPr>
            <w:r>
              <w:rPr>
                <w:rFonts w:hint="eastAsia" w:ascii="宋体" w:hAnsi="宋体"/>
                <w:color w:val="auto"/>
                <w:kern w:val="0"/>
                <w:sz w:val="24"/>
                <w:lang w:val="en-US" w:eastAsia="zh-CN"/>
              </w:rPr>
              <w:t>2.本表中的预估数量仅供供应商参考，本项目按实结算，实际结算金额=成交单价×实际</w:t>
            </w:r>
            <w:r>
              <w:rPr>
                <w:rFonts w:hint="eastAsia" w:ascii="宋体" w:hAnsi="宋体"/>
                <w:color w:val="auto"/>
                <w:kern w:val="0"/>
                <w:sz w:val="24"/>
              </w:rPr>
              <w:t>采购</w:t>
            </w:r>
            <w:r>
              <w:rPr>
                <w:rFonts w:hint="eastAsia" w:ascii="宋体" w:hAnsi="宋体"/>
                <w:color w:val="auto"/>
                <w:kern w:val="0"/>
                <w:sz w:val="24"/>
                <w:lang w:val="en-US" w:eastAsia="zh-CN"/>
              </w:rPr>
              <w:t>供货数量。</w:t>
            </w:r>
          </w:p>
          <w:p>
            <w:pPr>
              <w:numPr>
                <w:ilvl w:val="0"/>
                <w:numId w:val="0"/>
              </w:numPr>
              <w:spacing w:line="360" w:lineRule="auto"/>
              <w:rPr>
                <w:rFonts w:hint="eastAsia" w:ascii="宋体" w:hAnsi="宋体"/>
                <w:color w:val="auto"/>
                <w:kern w:val="0"/>
                <w:sz w:val="24"/>
                <w:lang w:val="en-US" w:eastAsia="zh-CN"/>
              </w:rPr>
            </w:pPr>
            <w:r>
              <w:rPr>
                <w:rFonts w:hint="eastAsia" w:ascii="宋体" w:hAnsi="宋体"/>
                <w:color w:val="auto"/>
                <w:kern w:val="0"/>
                <w:sz w:val="24"/>
                <w:lang w:val="en-US" w:eastAsia="zh-CN"/>
              </w:rPr>
              <w:t>3.供应商在网上竞价系统中填写的合同包金额=投标单价×预估数量。在竞价结束后，采购人将按照成交人的合同包金额报价/预估数量计算成交单价，成交单价保留小数点后四位，第五位四舍五入。该成交单价将作为结算依据，结算金额=成交单价×实际采购数量。</w:t>
            </w:r>
          </w:p>
          <w:p>
            <w:pPr>
              <w:numPr>
                <w:ilvl w:val="0"/>
                <w:numId w:val="0"/>
              </w:numPr>
              <w:spacing w:line="360" w:lineRule="auto"/>
              <w:rPr>
                <w:rFonts w:hint="default" w:ascii="宋体" w:hAnsi="宋体"/>
                <w:color w:val="0000FF"/>
                <w:kern w:val="0"/>
                <w:sz w:val="24"/>
                <w:lang w:val="en-US" w:eastAsia="zh-CN"/>
              </w:rPr>
            </w:pPr>
            <w:r>
              <w:rPr>
                <w:rFonts w:hint="eastAsia" w:ascii="宋体" w:hAnsi="宋体"/>
                <w:color w:val="auto"/>
                <w:kern w:val="0"/>
                <w:sz w:val="24"/>
                <w:lang w:val="en-US" w:eastAsia="zh-CN"/>
              </w:rPr>
              <w:t>4.</w:t>
            </w:r>
            <w:r>
              <w:rPr>
                <w:rFonts w:hint="eastAsia" w:ascii="宋体" w:hAnsi="宋体"/>
                <w:color w:val="auto"/>
                <w:kern w:val="0"/>
                <w:sz w:val="24"/>
                <w:highlight w:val="none"/>
                <w:lang w:val="en-US" w:eastAsia="zh-CN"/>
              </w:rPr>
              <w:t>本项目在监管场所施工，每日工作时间有限，供应商应充分考虑成本，不得恶意报价</w:t>
            </w:r>
            <w:r>
              <w:rPr>
                <w:rFonts w:hint="eastAsia" w:ascii="宋体" w:hAnsi="宋体"/>
                <w:color w:val="0000FF"/>
                <w:kern w:val="0"/>
                <w:sz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pPr>
        <w:snapToGrid w:val="0"/>
        <w:spacing w:line="400" w:lineRule="exact"/>
        <w:ind w:firstLine="482" w:firstLineChars="200"/>
        <w:jc w:val="left"/>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pStyle w:val="33"/>
        <w:spacing w:line="360" w:lineRule="auto"/>
        <w:rPr>
          <w:rFonts w:hint="default" w:ascii="宋体" w:hAnsi="宋体" w:eastAsia="宋体" w:cs="宋体"/>
          <w:b/>
          <w:sz w:val="24"/>
          <w:szCs w:val="24"/>
          <w:highlight w:val="none"/>
          <w:lang w:val="en-US" w:eastAsia="zh-CN"/>
        </w:rPr>
      </w:pPr>
      <w:r>
        <w:rPr>
          <w:rFonts w:hint="eastAsia" w:asciiTheme="minorEastAsia" w:hAnsiTheme="minorEastAsia" w:eastAsiaTheme="minorEastAsia" w:cstheme="minorEastAsia"/>
          <w:color w:val="auto"/>
          <w:sz w:val="24"/>
          <w:szCs w:val="24"/>
        </w:rPr>
        <w:t>1.产品详细参数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180"/>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序号</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货物名称</w:t>
            </w:r>
          </w:p>
        </w:tc>
        <w:tc>
          <w:tcPr>
            <w:tcW w:w="7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轨道</w:t>
            </w:r>
          </w:p>
        </w:tc>
        <w:tc>
          <w:tcPr>
            <w:tcW w:w="77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1、轨道采用铝合金烤漆工艺，超强承重，顺滑静音。</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、材质：铝合金</w:t>
            </w:r>
            <w:r>
              <w:rPr>
                <w:rFonts w:hint="eastAsia" w:ascii="宋体" w:hAnsi="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、配件材质：</w:t>
            </w:r>
            <w:r>
              <w:rPr>
                <w:rFonts w:hint="eastAsia" w:ascii="宋体" w:hAnsi="宋体" w:cs="宋体"/>
                <w:b w:val="0"/>
                <w:bCs w:val="0"/>
                <w:color w:val="auto"/>
                <w:sz w:val="24"/>
                <w:szCs w:val="24"/>
                <w:highlight w:val="none"/>
                <w:vertAlign w:val="baseline"/>
                <w:lang w:val="en-US" w:eastAsia="zh-CN"/>
              </w:rPr>
              <w:t>滑轮为POM缩醛树脂抗老化；</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、表面处理技术：</w:t>
            </w:r>
            <w:r>
              <w:rPr>
                <w:rFonts w:hint="eastAsia" w:ascii="宋体" w:hAnsi="宋体" w:cs="宋体"/>
                <w:b w:val="0"/>
                <w:bCs w:val="0"/>
                <w:color w:val="auto"/>
                <w:sz w:val="24"/>
                <w:szCs w:val="24"/>
                <w:highlight w:val="none"/>
                <w:vertAlign w:val="baseline"/>
                <w:lang w:val="en-US" w:eastAsia="zh-CN"/>
              </w:rPr>
              <w:t>烤漆白；</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、支重：</w:t>
            </w:r>
            <w:r>
              <w:rPr>
                <w:rFonts w:hint="eastAsia"/>
                <w:lang w:eastAsia="zh-CN"/>
              </w:rPr>
              <w:t>≥</w:t>
            </w:r>
            <w:r>
              <w:rPr>
                <w:rFonts w:hint="eastAsia" w:ascii="宋体" w:hAnsi="宋体" w:eastAsia="宋体" w:cs="宋体"/>
                <w:b w:val="0"/>
                <w:bCs w:val="0"/>
                <w:color w:val="auto"/>
                <w:sz w:val="24"/>
                <w:szCs w:val="24"/>
                <w:highlight w:val="none"/>
                <w:vertAlign w:val="baseline"/>
                <w:lang w:val="en-US" w:eastAsia="zh-CN"/>
              </w:rPr>
              <w:t>1</w:t>
            </w:r>
            <w:r>
              <w:rPr>
                <w:rFonts w:hint="eastAsia" w:ascii="宋体" w:hAnsi="宋体" w:cs="宋体"/>
                <w:b w:val="0"/>
                <w:bCs w:val="0"/>
                <w:color w:val="auto"/>
                <w:sz w:val="24"/>
                <w:szCs w:val="24"/>
                <w:highlight w:val="none"/>
                <w:vertAlign w:val="baseline"/>
                <w:lang w:val="en-US" w:eastAsia="zh-CN"/>
              </w:rPr>
              <w:t>kg/4</w:t>
            </w:r>
            <w:r>
              <w:rPr>
                <w:rFonts w:hint="eastAsia" w:ascii="宋体" w:hAnsi="宋体" w:eastAsia="宋体" w:cs="宋体"/>
                <w:b w:val="0"/>
                <w:bCs w:val="0"/>
                <w:color w:val="auto"/>
                <w:sz w:val="24"/>
                <w:szCs w:val="24"/>
                <w:highlight w:val="none"/>
                <w:vertAlign w:val="baseline"/>
                <w:lang w:val="en-US" w:eastAsia="zh-CN"/>
              </w:rPr>
              <w:t>m</w:t>
            </w:r>
            <w:r>
              <w:rPr>
                <w:rFonts w:hint="eastAsia" w:ascii="宋体" w:hAnsi="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规格</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19mm×17mm</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r>
              <w:rPr>
                <w:rFonts w:hint="eastAsia" w:ascii="宋体" w:hAnsi="宋体" w:eastAsia="宋体" w:cs="宋体"/>
                <w:b w:val="0"/>
                <w:bCs w:val="0"/>
                <w:color w:val="auto"/>
                <w:sz w:val="24"/>
                <w:szCs w:val="24"/>
                <w:highlight w:val="none"/>
                <w:vertAlign w:val="baseline"/>
                <w:lang w:val="en-US" w:eastAsia="zh-CN"/>
              </w:rPr>
              <w:t>、壁厚：1.</w:t>
            </w:r>
            <w:r>
              <w:rPr>
                <w:rFonts w:hint="eastAsia" w:ascii="宋体" w:hAnsi="宋体" w:cs="宋体"/>
                <w:b w:val="0"/>
                <w:bCs w:val="0"/>
                <w:color w:val="auto"/>
                <w:sz w:val="24"/>
                <w:szCs w:val="24"/>
                <w:highlight w:val="none"/>
                <w:vertAlign w:val="baseline"/>
                <w:lang w:val="en-US" w:eastAsia="zh-CN"/>
              </w:rPr>
              <w:t>1</w:t>
            </w:r>
            <w:r>
              <w:rPr>
                <w:rFonts w:hint="eastAsia" w:ascii="宋体" w:hAnsi="宋体" w:eastAsia="宋体" w:cs="宋体"/>
                <w:b w:val="0"/>
                <w:bCs w:val="0"/>
                <w:color w:val="auto"/>
                <w:sz w:val="24"/>
                <w:szCs w:val="24"/>
                <w:highlight w:val="none"/>
                <w:vertAlign w:val="baseline"/>
                <w:lang w:val="en-US" w:eastAsia="zh-CN"/>
              </w:rPr>
              <w:t>mm（允许偏差±0.1mm）</w:t>
            </w:r>
            <w:r>
              <w:rPr>
                <w:rFonts w:hint="eastAsia" w:ascii="宋体" w:hAnsi="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消音条：抗老化工程塑料</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r>
              <w:rPr>
                <w:rFonts w:hint="eastAsia" w:ascii="宋体" w:hAnsi="宋体" w:eastAsia="宋体" w:cs="宋体"/>
                <w:b w:val="0"/>
                <w:bCs w:val="0"/>
                <w:color w:val="auto"/>
                <w:sz w:val="24"/>
                <w:szCs w:val="24"/>
                <w:highlight w:val="none"/>
                <w:vertAlign w:val="baseline"/>
                <w:lang w:val="en-US" w:eastAsia="zh-CN"/>
              </w:rPr>
              <w:t>、具备耐疲劳、耐老化、稳定性高，保证在恶劣的环境中安全使用，耐磨性能高硬度高，承受力强。使用寿命</w:t>
            </w:r>
            <w:r>
              <w:rPr>
                <w:rFonts w:hint="eastAsia" w:ascii="宋体" w:hAnsi="宋体" w:cs="宋体"/>
                <w:b w:val="0"/>
                <w:bCs w:val="0"/>
                <w:color w:val="auto"/>
                <w:sz w:val="24"/>
                <w:szCs w:val="24"/>
                <w:highlight w:val="none"/>
                <w:vertAlign w:val="baseline"/>
                <w:lang w:val="en-US" w:eastAsia="zh-CN"/>
              </w:rPr>
              <w:t>15</w:t>
            </w:r>
            <w:r>
              <w:rPr>
                <w:rFonts w:hint="eastAsia" w:ascii="宋体" w:hAnsi="宋体" w:eastAsia="宋体" w:cs="宋体"/>
                <w:b w:val="0"/>
                <w:bCs w:val="0"/>
                <w:color w:val="auto"/>
                <w:sz w:val="24"/>
                <w:szCs w:val="24"/>
                <w:highlight w:val="none"/>
                <w:vertAlign w:val="baseline"/>
                <w:lang w:val="en-US" w:eastAsia="zh-CN"/>
              </w:rPr>
              <w:t>年</w:t>
            </w:r>
            <w:r>
              <w:rPr>
                <w:rFonts w:hint="eastAsia" w:ascii="宋体" w:hAnsi="宋体" w:cs="宋体"/>
                <w:b w:val="0"/>
                <w:bCs w:val="0"/>
                <w:color w:val="auto"/>
                <w:sz w:val="24"/>
                <w:szCs w:val="24"/>
                <w:highlight w:val="none"/>
                <w:vertAlign w:val="baseline"/>
                <w:lang w:val="en-US" w:eastAsia="zh-CN"/>
              </w:rPr>
              <w:t>及</w:t>
            </w:r>
            <w:r>
              <w:rPr>
                <w:rFonts w:hint="eastAsia" w:ascii="宋体" w:hAnsi="宋体" w:eastAsia="宋体" w:cs="宋体"/>
                <w:b w:val="0"/>
                <w:bCs w:val="0"/>
                <w:color w:val="auto"/>
                <w:sz w:val="24"/>
                <w:szCs w:val="24"/>
                <w:highlight w:val="none"/>
                <w:vertAlign w:val="baseline"/>
                <w:lang w:val="en-US" w:eastAsia="zh-CN"/>
              </w:rPr>
              <w:t>以上</w:t>
            </w:r>
            <w:r>
              <w:rPr>
                <w:rFonts w:hint="eastAsia" w:ascii="宋体" w:hAnsi="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高精度半遮光窗帘布</w:t>
            </w:r>
          </w:p>
        </w:tc>
        <w:tc>
          <w:tcPr>
            <w:tcW w:w="77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r>
              <w:rPr>
                <w:rFonts w:hint="eastAsia" w:ascii="宋体" w:hAnsi="宋体" w:eastAsia="宋体" w:cs="宋体"/>
                <w:b w:val="0"/>
                <w:bCs w:val="0"/>
                <w:color w:val="auto"/>
                <w:sz w:val="24"/>
                <w:szCs w:val="24"/>
                <w:highlight w:val="none"/>
                <w:vertAlign w:val="baseline"/>
                <w:lang w:val="en-US" w:eastAsia="zh-CN"/>
              </w:rPr>
              <w:t>成品克重:≥1000G/m(视缩率不同而有所不同)</w:t>
            </w:r>
            <w:r>
              <w:rPr>
                <w:rFonts w:hint="eastAsia" w:ascii="宋体" w:hAnsi="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、材质：100%聚酯纤维；</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、克重：≥2</w:t>
            </w:r>
            <w:r>
              <w:rPr>
                <w:rFonts w:hint="eastAsia" w:ascii="宋体" w:hAnsi="宋体" w:cs="宋体"/>
                <w:b w:val="0"/>
                <w:bCs w:val="0"/>
                <w:color w:val="auto"/>
                <w:sz w:val="24"/>
                <w:szCs w:val="24"/>
                <w:highlight w:val="none"/>
                <w:vertAlign w:val="baseline"/>
                <w:lang w:val="en-US" w:eastAsia="zh-CN"/>
              </w:rPr>
              <w:t>85</w:t>
            </w:r>
            <w:r>
              <w:rPr>
                <w:rFonts w:hint="eastAsia" w:ascii="宋体" w:hAnsi="宋体" w:eastAsia="宋体" w:cs="宋体"/>
                <w:b w:val="0"/>
                <w:bCs w:val="0"/>
                <w:color w:val="auto"/>
                <w:sz w:val="24"/>
                <w:szCs w:val="24"/>
                <w:highlight w:val="none"/>
                <w:vertAlign w:val="baseline"/>
                <w:lang w:val="en-US" w:eastAsia="zh-CN"/>
              </w:rPr>
              <w:t>g/㎡；</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耐光色牢度（级）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测试方法参照：GB/T8427-2008</w:t>
            </w:r>
            <w:r>
              <w:rPr>
                <w:rFonts w:hint="eastAsia" w:ascii="宋体" w:hAnsi="宋体" w:eastAsia="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、甲醛含量:</w:t>
            </w:r>
            <w:r>
              <w:rPr>
                <w:rFonts w:hint="eastAsia" w:ascii="宋体" w:hAnsi="宋体" w:cs="宋体"/>
                <w:b w:val="0"/>
                <w:bCs w:val="0"/>
                <w:color w:val="auto"/>
                <w:sz w:val="24"/>
                <w:szCs w:val="24"/>
                <w:highlight w:val="none"/>
                <w:vertAlign w:val="baseline"/>
                <w:lang w:val="en-US" w:eastAsia="zh-CN"/>
              </w:rPr>
              <w:t>未检出</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测试方法参照：GB/T2912.1-2009</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r>
              <w:rPr>
                <w:rFonts w:hint="eastAsia" w:ascii="宋体" w:hAnsi="宋体" w:eastAsia="宋体" w:cs="宋体"/>
                <w:b w:val="0"/>
                <w:bCs w:val="0"/>
                <w:color w:val="auto"/>
                <w:sz w:val="24"/>
                <w:szCs w:val="24"/>
                <w:highlight w:val="none"/>
                <w:vertAlign w:val="baseline"/>
                <w:lang w:val="en-US" w:eastAsia="zh-CN"/>
              </w:rPr>
              <w:t>、PH值：</w:t>
            </w: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6.5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测试方法参照：GB/T7573-2009</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r>
              <w:rPr>
                <w:rFonts w:hint="eastAsia" w:ascii="宋体" w:hAnsi="宋体" w:eastAsia="宋体" w:cs="宋体"/>
                <w:b w:val="0"/>
                <w:bCs w:val="0"/>
                <w:color w:val="auto"/>
                <w:sz w:val="24"/>
                <w:szCs w:val="24"/>
                <w:highlight w:val="none"/>
                <w:vertAlign w:val="baseline"/>
                <w:lang w:val="en-US" w:eastAsia="zh-CN"/>
              </w:rPr>
              <w:t>、异味:无异味；</w:t>
            </w:r>
            <w:r>
              <w:rPr>
                <w:rFonts w:hint="eastAsia" w:ascii="宋体" w:hAnsi="宋体" w:cs="宋体"/>
                <w:b w:val="0"/>
                <w:bCs w:val="0"/>
                <w:color w:val="auto"/>
                <w:sz w:val="24"/>
                <w:szCs w:val="24"/>
                <w:highlight w:val="none"/>
                <w:vertAlign w:val="baseline"/>
                <w:lang w:val="en-US" w:eastAsia="zh-CN"/>
              </w:rPr>
              <w:t>GB18401-2010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r>
              <w:rPr>
                <w:rFonts w:hint="eastAsia" w:ascii="宋体" w:hAnsi="宋体" w:eastAsia="宋体" w:cs="宋体"/>
                <w:b w:val="0"/>
                <w:bCs w:val="0"/>
                <w:color w:val="auto"/>
                <w:sz w:val="24"/>
                <w:szCs w:val="24"/>
                <w:highlight w:val="none"/>
                <w:vertAlign w:val="baseline"/>
                <w:lang w:val="en-US" w:eastAsia="zh-CN"/>
              </w:rPr>
              <w:t>、可分解致癌芳香胺染料:</w:t>
            </w:r>
            <w:r>
              <w:rPr>
                <w:rFonts w:hint="eastAsia" w:ascii="宋体" w:hAnsi="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r>
              <w:rPr>
                <w:rFonts w:hint="eastAsia" w:ascii="宋体" w:hAnsi="宋体" w:eastAsia="宋体" w:cs="宋体"/>
                <w:b w:val="0"/>
                <w:bCs w:val="0"/>
                <w:color w:val="auto"/>
                <w:sz w:val="24"/>
                <w:szCs w:val="24"/>
                <w:highlight w:val="none"/>
                <w:vertAlign w:val="baseline"/>
                <w:lang w:val="en-US" w:eastAsia="zh-CN"/>
              </w:rPr>
              <w:t>、水洗尺度变化率经向:-</w:t>
            </w:r>
            <w:r>
              <w:rPr>
                <w:rFonts w:hint="eastAsia" w:ascii="宋体" w:hAnsi="宋体" w:cs="宋体"/>
                <w:b w:val="0"/>
                <w:bCs w:val="0"/>
                <w:color w:val="auto"/>
                <w:sz w:val="24"/>
                <w:szCs w:val="24"/>
                <w:highlight w:val="none"/>
                <w:vertAlign w:val="baseline"/>
                <w:lang w:val="en-US" w:eastAsia="zh-CN"/>
              </w:rPr>
              <w:t>0.3---2</w:t>
            </w:r>
            <w:r>
              <w:rPr>
                <w:rFonts w:hint="eastAsia" w:ascii="宋体" w:hAnsi="宋体" w:eastAsia="宋体" w:cs="宋体"/>
                <w:b w:val="0"/>
                <w:bCs w:val="0"/>
                <w:color w:val="auto"/>
                <w:sz w:val="24"/>
                <w:szCs w:val="24"/>
                <w:highlight w:val="none"/>
                <w:vertAlign w:val="baseline"/>
                <w:lang w:val="en-US" w:eastAsia="zh-CN"/>
              </w:rPr>
              <w:t>；纬向:</w:t>
            </w:r>
            <w:r>
              <w:rPr>
                <w:rFonts w:hint="eastAsia" w:ascii="宋体" w:hAnsi="宋体" w:cs="宋体"/>
                <w:b w:val="0"/>
                <w:bCs w:val="0"/>
                <w:color w:val="auto"/>
                <w:sz w:val="24"/>
                <w:szCs w:val="24"/>
                <w:highlight w:val="none"/>
                <w:vertAlign w:val="baseline"/>
                <w:lang w:val="en-US" w:eastAsia="zh-CN"/>
              </w:rPr>
              <w:t>1---2；</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lang w:val="en-US" w:eastAsia="zh-CN"/>
              </w:rPr>
              <w:t>、耐光色牢度（级）≥3；</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w:t>
            </w:r>
            <w:r>
              <w:rPr>
                <w:rFonts w:hint="eastAsia" w:ascii="宋体" w:hAnsi="宋体" w:eastAsia="宋体" w:cs="宋体"/>
                <w:b w:val="0"/>
                <w:bCs w:val="0"/>
                <w:color w:val="auto"/>
                <w:sz w:val="24"/>
                <w:szCs w:val="24"/>
                <w:highlight w:val="none"/>
                <w:vertAlign w:val="baseline"/>
                <w:lang w:val="en-US" w:eastAsia="zh-CN"/>
              </w:rPr>
              <w:t>、断裂强力（N）经向≥</w:t>
            </w:r>
            <w:r>
              <w:rPr>
                <w:rFonts w:hint="eastAsia" w:ascii="宋体" w:hAnsi="宋体" w:cs="宋体"/>
                <w:b w:val="0"/>
                <w:bCs w:val="0"/>
                <w:color w:val="auto"/>
                <w:sz w:val="24"/>
                <w:szCs w:val="24"/>
                <w:highlight w:val="none"/>
                <w:vertAlign w:val="baseline"/>
                <w:lang w:val="en-US" w:eastAsia="zh-CN"/>
              </w:rPr>
              <w:t>1200</w:t>
            </w:r>
            <w:r>
              <w:rPr>
                <w:rFonts w:hint="eastAsia" w:ascii="宋体" w:hAnsi="宋体" w:eastAsia="宋体" w:cs="宋体"/>
                <w:b w:val="0"/>
                <w:bCs w:val="0"/>
                <w:color w:val="auto"/>
                <w:sz w:val="24"/>
                <w:szCs w:val="24"/>
                <w:highlight w:val="none"/>
                <w:vertAlign w:val="baseline"/>
                <w:lang w:val="en-US" w:eastAsia="zh-CN"/>
              </w:rPr>
              <w:t>；纬向≥</w:t>
            </w:r>
            <w:r>
              <w:rPr>
                <w:rFonts w:hint="eastAsia" w:ascii="宋体" w:hAnsi="宋体" w:cs="宋体"/>
                <w:b w:val="0"/>
                <w:bCs w:val="0"/>
                <w:color w:val="auto"/>
                <w:sz w:val="24"/>
                <w:szCs w:val="24"/>
                <w:highlight w:val="none"/>
                <w:vertAlign w:val="baseline"/>
                <w:lang w:val="en-US" w:eastAsia="zh-CN"/>
              </w:rPr>
              <w:t>900</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测试方法参照GB/T3923.1-2013</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表明拒水性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测试方法参照GB/T4745-2012洗涤法</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易去污性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测试方法参照FZ/T01118-2012洗涤法</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防紫外线性能评定：</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 xml:space="preserve">T(UVA)AV≤0.05% </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T(UVB)AV ≤ 0.05%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UPF AV&gt;50</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UPF&gt;50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w:t>
            </w:r>
            <w:r>
              <w:rPr>
                <w:rFonts w:hint="eastAsia" w:ascii="宋体" w:hAnsi="宋体" w:eastAsia="宋体" w:cs="宋体"/>
                <w:b w:val="0"/>
                <w:bCs w:val="0"/>
                <w:color w:val="auto"/>
                <w:sz w:val="24"/>
                <w:szCs w:val="24"/>
                <w:highlight w:val="none"/>
                <w:vertAlign w:val="baseline"/>
                <w:lang w:val="en-US" w:eastAsia="zh-CN"/>
              </w:rPr>
              <w:t>、</w:t>
            </w:r>
            <w:r>
              <w:rPr>
                <w:rFonts w:hint="eastAsia"/>
                <w:sz w:val="24"/>
              </w:rPr>
              <w:t>颜色根据采购人要求定制</w:t>
            </w:r>
            <w:r>
              <w:rPr>
                <w:rFonts w:hint="eastAsia"/>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注：供应商应在响应文件中提供所投产品由检测机构出具的带有CMA标志的检测报告佐证以上1至14项技术要求，否则报名审核不通过。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本表中的规格尺寸为固定值的（指未标注误差值或范围值），均允许偏离±3%.</w:t>
            </w:r>
          </w:p>
        </w:tc>
      </w:tr>
    </w:tbl>
    <w:p>
      <w:pPr>
        <w:pStyle w:val="6"/>
        <w:spacing w:line="360" w:lineRule="auto"/>
        <w:ind w:firstLine="480" w:firstLineChars="200"/>
        <w:rPr>
          <w:rFonts w:hint="eastAsia" w:ascii="宋体" w:hAnsi="宋体" w:cs="宋体"/>
          <w:color w:val="auto"/>
          <w:sz w:val="24"/>
          <w:szCs w:val="24"/>
          <w:highlight w:val="yellow"/>
          <w:lang w:val="en-US" w:eastAsia="zh-CN"/>
        </w:rPr>
      </w:pPr>
    </w:p>
    <w:p>
      <w:pPr>
        <w:pStyle w:val="6"/>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2.尺寸数量清单</w:t>
      </w:r>
    </w:p>
    <w:tbl>
      <w:tblPr>
        <w:tblStyle w:val="18"/>
        <w:tblW w:w="9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7"/>
        <w:gridCol w:w="1484"/>
        <w:gridCol w:w="1532"/>
        <w:gridCol w:w="1429"/>
        <w:gridCol w:w="1360"/>
        <w:gridCol w:w="1093"/>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301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轨道</w:t>
            </w:r>
          </w:p>
        </w:tc>
        <w:tc>
          <w:tcPr>
            <w:tcW w:w="54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数量（米）</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宽（米）</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高（米）</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九区监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4.5*16</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4.5*18</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上述尺寸</w:t>
            </w:r>
            <w:r>
              <w:rPr>
                <w:rFonts w:hint="eastAsia" w:ascii="宋体" w:hAnsi="宋体" w:cs="宋体"/>
                <w:b/>
                <w:bCs/>
                <w:i w:val="0"/>
                <w:iCs w:val="0"/>
                <w:color w:val="000000"/>
                <w:kern w:val="0"/>
                <w:sz w:val="22"/>
                <w:szCs w:val="22"/>
                <w:u w:val="none"/>
                <w:lang w:val="en-US" w:eastAsia="zh-CN" w:bidi="ar"/>
              </w:rPr>
              <w:t>、数量仅供参考，具体以</w:t>
            </w:r>
            <w:r>
              <w:rPr>
                <w:rFonts w:hint="eastAsia" w:ascii="宋体" w:hAnsi="宋体" w:eastAsia="宋体" w:cs="宋体"/>
                <w:b/>
                <w:bCs/>
                <w:i w:val="0"/>
                <w:iCs w:val="0"/>
                <w:color w:val="000000"/>
                <w:kern w:val="0"/>
                <w:sz w:val="22"/>
                <w:szCs w:val="22"/>
                <w:u w:val="none"/>
                <w:lang w:val="en-US" w:eastAsia="zh-CN" w:bidi="ar"/>
              </w:rPr>
              <w:t>实际测量为准</w:t>
            </w:r>
            <w:r>
              <w:rPr>
                <w:rFonts w:hint="eastAsia" w:ascii="宋体" w:hAnsi="宋体" w:cs="宋体"/>
                <w:b/>
                <w:bCs/>
                <w:i w:val="0"/>
                <w:iCs w:val="0"/>
                <w:color w:val="000000"/>
                <w:kern w:val="0"/>
                <w:sz w:val="22"/>
                <w:szCs w:val="22"/>
                <w:u w:val="none"/>
                <w:lang w:val="en-US" w:eastAsia="zh-CN" w:bidi="ar"/>
              </w:rPr>
              <w:t>。</w:t>
            </w:r>
          </w:p>
        </w:tc>
      </w:tr>
    </w:tbl>
    <w:p>
      <w:pPr>
        <w:pStyle w:val="7"/>
        <w:rPr>
          <w:rFonts w:hint="default"/>
          <w:lang w:val="en-US" w:eastAsia="zh-CN"/>
        </w:rPr>
      </w:pPr>
    </w:p>
    <w:p>
      <w:pPr>
        <w:pStyle w:val="6"/>
        <w:spacing w:line="360" w:lineRule="auto"/>
        <w:ind w:firstLine="480" w:firstLineChars="200"/>
        <w:rPr>
          <w:rFonts w:hint="eastAsia" w:ascii="宋体" w:hAnsi="宋体" w:cs="宋体"/>
          <w:color w:val="auto"/>
          <w:sz w:val="24"/>
          <w:szCs w:val="24"/>
          <w:lang w:val="en-US" w:eastAsia="zh-CN"/>
        </w:rPr>
      </w:pP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.质量要求</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.1成交人供应商所提供的货物均由成交人供应商免费送货至采购人指定的交货地点。</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.2成交人供应商应当保证所提供的货物是全新的、未使用过的原装品牌货物，并在各个方面符合参数要求的质量、规格和性能要求。保证货物经过正确安装、合理操作和维护保养，在货物寿命期内能够良好使用。</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.3运输过程中造成的货物损坏、丢失或其它质量问题，其责任和损失由成交人供应商负担。</w:t>
      </w:r>
    </w:p>
    <w:p>
      <w:pPr>
        <w:pStyle w:val="9"/>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9"/>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pPr>
        <w:widowControl/>
        <w:spacing w:line="360" w:lineRule="auto"/>
        <w:ind w:firstLine="482" w:firstLineChars="200"/>
        <w:jc w:val="left"/>
        <w:rPr>
          <w:rFonts w:ascii="宋体" w:hAnsi="宋体" w:cs="宋体"/>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交付时间：</w:t>
      </w:r>
      <w:r>
        <w:rPr>
          <w:rFonts w:hint="eastAsia" w:ascii="宋体" w:hAnsi="宋体" w:cs="宋体"/>
          <w:bCs/>
          <w:color w:val="auto"/>
          <w:sz w:val="24"/>
          <w:highlight w:val="none"/>
        </w:rPr>
        <w:t>合同签订后30天内交货并安装调试验收合格。</w:t>
      </w:r>
    </w:p>
    <w:p>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2.交付地点：</w:t>
      </w:r>
      <w:r>
        <w:rPr>
          <w:rFonts w:hint="eastAsia" w:ascii="宋体" w:hAnsi="宋体" w:cs="宋体"/>
          <w:color w:val="auto"/>
          <w:sz w:val="24"/>
          <w:highlight w:val="none"/>
        </w:rPr>
        <w:t>采购人指定地点</w:t>
      </w:r>
      <w:r>
        <w:rPr>
          <w:rFonts w:hint="eastAsia" w:ascii="宋体" w:hAnsi="宋体" w:cs="宋体"/>
          <w:color w:val="auto"/>
          <w:kern w:val="0"/>
          <w:sz w:val="24"/>
          <w:highlight w:val="none"/>
        </w:rPr>
        <w:t xml:space="preserve">。 </w:t>
      </w:r>
    </w:p>
    <w:p>
      <w:pPr>
        <w:pStyle w:val="14"/>
        <w:spacing w:before="0" w:beforeAutospacing="0" w:after="0" w:afterAutospacing="0" w:line="360" w:lineRule="auto"/>
        <w:ind w:firstLine="482" w:firstLineChars="200"/>
        <w:rPr>
          <w:color w:val="auto"/>
          <w:highlight w:val="none"/>
        </w:rPr>
      </w:pPr>
      <w:r>
        <w:rPr>
          <w:rFonts w:hint="eastAsia"/>
          <w:b/>
          <w:color w:val="auto"/>
          <w:highlight w:val="none"/>
        </w:rPr>
        <w:t>3.交付条件</w:t>
      </w:r>
      <w:r>
        <w:rPr>
          <w:rFonts w:hint="eastAsia"/>
          <w:color w:val="auto"/>
          <w:highlight w:val="none"/>
        </w:rPr>
        <w:t>：</w:t>
      </w:r>
      <w:r>
        <w:rPr>
          <w:rFonts w:hint="eastAsia"/>
          <w:bCs/>
          <w:color w:val="auto"/>
          <w:highlight w:val="none"/>
        </w:rPr>
        <w:t>经验收合格。</w:t>
      </w:r>
    </w:p>
    <w:p>
      <w:pPr>
        <w:pStyle w:val="6"/>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4.是否收取履约保证金：</w:t>
      </w:r>
      <w:r>
        <w:rPr>
          <w:rFonts w:hint="eastAsia" w:ascii="宋体" w:hAnsi="宋体" w:cs="宋体"/>
          <w:color w:val="auto"/>
          <w:sz w:val="24"/>
          <w:szCs w:val="24"/>
          <w:highlight w:val="none"/>
        </w:rPr>
        <w:t>是。履约保证金百分比：</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%。说明：成交供应商在签订合同前，以转账、支票、银行无条件支付保函等非现金方式向采购人缴纳合同总金额</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%履约保证金。履约保证金在履约完网上竞价文件、合同约定的全部义务事项且双方无未了事项的前提下，采购人在收到成交供应商提交的合同、相关缴纳单据及书面申请后30日内无息退还。</w:t>
      </w:r>
    </w:p>
    <w:p>
      <w:pPr>
        <w:pStyle w:val="14"/>
        <w:spacing w:before="0" w:beforeAutospacing="0" w:after="0" w:afterAutospacing="0" w:line="360" w:lineRule="auto"/>
        <w:ind w:firstLine="482" w:firstLineChars="200"/>
        <w:rPr>
          <w:color w:val="auto"/>
          <w:highlight w:val="none"/>
        </w:rPr>
      </w:pPr>
      <w:r>
        <w:rPr>
          <w:rFonts w:hint="eastAsia"/>
          <w:b/>
          <w:bCs/>
          <w:color w:val="auto"/>
          <w:highlight w:val="none"/>
        </w:rPr>
        <w:t>5.付款方式：</w:t>
      </w:r>
      <w:r>
        <w:rPr>
          <w:rFonts w:hint="eastAsia"/>
          <w:b/>
          <w:color w:val="000000" w:themeColor="text1"/>
          <w:highlight w:val="none"/>
          <w14:textFill>
            <w14:solidFill>
              <w14:schemeClr w14:val="tx1"/>
            </w14:solidFill>
          </w14:textFill>
        </w:rPr>
        <w:t>货物按实结算，</w:t>
      </w:r>
      <w:r>
        <w:rPr>
          <w:rFonts w:hint="eastAsia"/>
          <w:color w:val="000000" w:themeColor="text1"/>
          <w:highlight w:val="none"/>
          <w14:textFill>
            <w14:solidFill>
              <w14:schemeClr w14:val="tx1"/>
            </w14:solidFill>
          </w14:textFill>
        </w:rPr>
        <w:t>全部货物交货</w:t>
      </w:r>
      <w:r>
        <w:rPr>
          <w:rStyle w:val="26"/>
          <w:rFonts w:hint="eastAsia"/>
          <w:color w:val="000000" w:themeColor="text1"/>
          <w:sz w:val="24"/>
          <w:highlight w:val="none"/>
          <w14:textFill>
            <w14:solidFill>
              <w14:schemeClr w14:val="tx1"/>
            </w14:solidFill>
          </w14:textFill>
        </w:rPr>
        <w:t>并安装到位</w:t>
      </w:r>
      <w:r>
        <w:rPr>
          <w:rFonts w:hint="eastAsia"/>
          <w:color w:val="auto"/>
          <w:highlight w:val="none"/>
        </w:rPr>
        <w:t>且经验收合格后，</w:t>
      </w:r>
      <w:r>
        <w:rPr>
          <w:rFonts w:hint="eastAsia"/>
          <w:bCs/>
          <w:color w:val="auto"/>
          <w:highlight w:val="none"/>
        </w:rPr>
        <w:t>成交供应商向采购人提供合法有效的等额增值税</w:t>
      </w:r>
      <w:r>
        <w:rPr>
          <w:rFonts w:hint="eastAsia"/>
          <w:bCs/>
          <w:color w:val="auto"/>
          <w:highlight w:val="none"/>
          <w:lang w:eastAsia="zh-CN"/>
        </w:rPr>
        <w:t>专用</w:t>
      </w:r>
      <w:r>
        <w:rPr>
          <w:rFonts w:hint="eastAsia"/>
          <w:bCs/>
          <w:color w:val="auto"/>
          <w:highlight w:val="none"/>
        </w:rPr>
        <w:t>发票及相关材料、采购人在收到发票及相关材料后30日内</w:t>
      </w:r>
      <w:r>
        <w:rPr>
          <w:rFonts w:hint="eastAsia"/>
          <w:bCs/>
          <w:color w:val="auto"/>
          <w:highlight w:val="none"/>
          <w:lang w:eastAsia="zh-CN"/>
        </w:rPr>
        <w:t>一次性</w:t>
      </w:r>
      <w:r>
        <w:rPr>
          <w:rFonts w:hint="eastAsia"/>
          <w:bCs/>
          <w:color w:val="auto"/>
          <w:highlight w:val="none"/>
        </w:rPr>
        <w:t>支付</w:t>
      </w:r>
      <w:r>
        <w:rPr>
          <w:rFonts w:hint="eastAsia"/>
          <w:color w:val="auto"/>
          <w:highlight w:val="none"/>
        </w:rPr>
        <w:t>合同款。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.1</w:t>
      </w:r>
      <w:r>
        <w:rPr>
          <w:rFonts w:hint="eastAsia" w:ascii="宋体" w:hAnsi="宋体" w:cs="宋体"/>
          <w:color w:val="auto"/>
          <w:sz w:val="24"/>
        </w:rPr>
        <w:t>包装：货物交货时应按国家有关标准要求进行包装。</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.2</w:t>
      </w:r>
      <w:r>
        <w:rPr>
          <w:rFonts w:hint="eastAsia" w:ascii="宋体" w:hAnsi="宋体" w:cs="宋体"/>
          <w:color w:val="auto"/>
          <w:sz w:val="24"/>
        </w:rPr>
        <w:t>方式：包装必须与运输方式相适应，包装方式的确定及包装费用均由成交人负责；由于不适当的包装而造成货物在运输过程中有任何损坏由成交人负责。</w:t>
      </w:r>
    </w:p>
    <w:p>
      <w:pPr>
        <w:spacing w:line="360" w:lineRule="auto"/>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和项目所在地的气候特点，以及露天存放的需要。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7" w:name="_Toc83283201"/>
      <w:bookmarkStart w:id="8" w:name="_Toc442349369"/>
      <w:bookmarkStart w:id="9" w:name="_Toc422816009"/>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rPr>
        <w:t>成交人应在签订合同时，向采购人提供安装、调试的进度计划表。</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本项目成交人须按采购人要求在指</w:t>
      </w:r>
      <w:r>
        <w:rPr>
          <w:rFonts w:ascii="宋体" w:hAnsi="宋体" w:cs="宋体"/>
          <w:color w:val="auto"/>
          <w:sz w:val="24"/>
        </w:rPr>
        <w:t xml:space="preserve"> </w:t>
      </w:r>
      <w:r>
        <w:rPr>
          <w:rFonts w:hint="eastAsia" w:ascii="宋体" w:hAnsi="宋体" w:cs="宋体"/>
          <w:color w:val="auto"/>
          <w:sz w:val="24"/>
        </w:rPr>
        <w:t>定位置安装</w:t>
      </w:r>
      <w:r>
        <w:rPr>
          <w:rFonts w:hint="eastAsia" w:ascii="宋体" w:hAnsi="宋体" w:cs="宋体"/>
          <w:color w:val="auto"/>
          <w:sz w:val="24"/>
          <w:highlight w:val="none"/>
          <w:lang w:eastAsia="zh-CN"/>
        </w:rPr>
        <w:t>轨道及窗帘</w:t>
      </w:r>
      <w:r>
        <w:rPr>
          <w:rFonts w:hint="eastAsia" w:ascii="宋体" w:hAnsi="宋体" w:cs="宋体"/>
          <w:color w:val="auto"/>
          <w:sz w:val="24"/>
        </w:rPr>
        <w:t>，安装过程须符合相应安全规章制度和安装规范。</w:t>
      </w:r>
      <w:r>
        <w:rPr>
          <w:rFonts w:hint="eastAsia" w:ascii="宋体" w:hAnsi="宋体" w:cs="宋体"/>
          <w:sz w:val="24"/>
          <w:lang w:eastAsia="zh-CN"/>
        </w:rPr>
        <w:t>安装过程中产生的垃圾，由成交人依照采购人要求清理到采购人指定地点。</w:t>
      </w:r>
      <w:r>
        <w:rPr>
          <w:rFonts w:hint="eastAsia" w:ascii="宋体" w:hAnsi="宋体" w:cs="宋体"/>
          <w:color w:val="auto"/>
          <w:sz w:val="24"/>
        </w:rPr>
        <w:t>安装过程中，成交人对安装现场安全负完全责任（包含监狱和安装方人员、设施的安全），发生的安全事故由成交人承担一切经济赔偿责任和法律责任。</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成交人负责将合同规定的设备数量送到安装地点，设备通过采购人确认后，由成交人负责安装、调试，其中所涉及的一切费用，包含在报价中。采购人将安排专人配合，并提供安装所需的基本条件，保证各项安装工作顺利进行。</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.4</w:t>
      </w:r>
      <w:r>
        <w:rPr>
          <w:rFonts w:hint="eastAsia" w:ascii="宋体" w:hAnsi="宋体" w:cs="宋体"/>
          <w:color w:val="auto"/>
          <w:sz w:val="24"/>
        </w:rPr>
        <w:t>安装、调试的完工期须按照合同的规定执行。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10" w:name="_Toc442349370"/>
      <w:bookmarkStart w:id="11" w:name="_Toc83283202"/>
      <w:r>
        <w:rPr>
          <w:rFonts w:hint="eastAsia" w:ascii="宋体" w:hAnsi="宋体" w:cs="宋体"/>
          <w:b/>
          <w:bCs/>
          <w:color w:val="auto"/>
          <w:sz w:val="24"/>
          <w:lang w:val="en-US" w:eastAsia="zh-CN"/>
        </w:rPr>
        <w:t>8</w:t>
      </w:r>
      <w:r>
        <w:rPr>
          <w:rFonts w:ascii="宋体" w:hAnsi="宋体" w:cs="宋体"/>
          <w:b/>
          <w:bCs/>
          <w:color w:val="auto"/>
          <w:sz w:val="24"/>
        </w:rPr>
        <w:t>.</w:t>
      </w:r>
      <w:r>
        <w:rPr>
          <w:rFonts w:hint="eastAsia" w:ascii="宋体" w:hAnsi="宋体" w:cs="宋体"/>
          <w:b/>
          <w:bCs/>
          <w:color w:val="auto"/>
          <w:sz w:val="24"/>
        </w:rPr>
        <w:t>检验标准和方法</w:t>
      </w:r>
      <w:bookmarkEnd w:id="10"/>
      <w:bookmarkEnd w:id="11"/>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.1</w:t>
      </w:r>
      <w:r>
        <w:rPr>
          <w:rFonts w:hint="eastAsia" w:ascii="宋体" w:hAnsi="宋体"/>
          <w:bCs/>
          <w:color w:val="auto"/>
          <w:sz w:val="24"/>
        </w:rPr>
        <w:t>供应商将货物配送到采购人指定地点后，由采购人、供应商指定人员共同进行到货验收确认，确认产品、名称、数量、型号及规格正确，包装完好，并在送货单上签收确认。验收过程中发现与货物清单规格不一致的，采购人有权拒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鉴于货物的验收仅限于货物的外包装、数量、品目等初步外观内容，采购人在实际使用货物过程中发现货物不符合合同约定的质量标准的，在合同免费质量维护期内供应商应无条件予以配合退货、换货或修理。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.3</w:t>
      </w:r>
      <w:r>
        <w:rPr>
          <w:rFonts w:hint="eastAsia" w:ascii="宋体" w:hAnsi="宋体"/>
          <w:bCs/>
          <w:color w:val="auto"/>
          <w:sz w:val="24"/>
        </w:rPr>
        <w:t>供应商应负责安装、调试等，并由双方在验收单上对货物验收情况、安装调试予以记载并签字确认，安装过程中出现的一切安全责任及财产损失或人身损害，均由供应商自行负责。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.4</w:t>
      </w:r>
      <w:r>
        <w:rPr>
          <w:rFonts w:hint="eastAsia" w:ascii="宋体" w:hAnsi="宋体"/>
          <w:bCs/>
          <w:color w:val="auto"/>
          <w:sz w:val="24"/>
        </w:rPr>
        <w:t>验收环节产生的所有费用均由供应商支付，并包含在投标总价中。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12" w:name="_Toc346300366"/>
      <w:bookmarkStart w:id="13" w:name="_Toc442349371"/>
      <w:bookmarkStart w:id="14" w:name="_Toc330567033"/>
      <w:bookmarkStart w:id="15" w:name="_Toc351968245"/>
      <w:bookmarkStart w:id="16" w:name="_Toc83283203"/>
      <w:bookmarkStart w:id="17" w:name="_Toc422816010"/>
      <w:bookmarkStart w:id="18" w:name="_Toc419485046"/>
      <w:bookmarkStart w:id="19" w:name="_Toc347060295"/>
      <w:r>
        <w:rPr>
          <w:rFonts w:hint="eastAsia" w:ascii="宋体" w:hAnsi="宋体" w:cs="宋体"/>
          <w:b/>
          <w:bCs/>
          <w:color w:val="auto"/>
          <w:sz w:val="24"/>
          <w:lang w:val="en-US" w:eastAsia="zh-CN"/>
        </w:rPr>
        <w:t>9</w:t>
      </w:r>
      <w:r>
        <w:rPr>
          <w:rFonts w:ascii="宋体" w:hAnsi="宋体" w:cs="宋体"/>
          <w:b/>
          <w:bCs/>
          <w:color w:val="auto"/>
          <w:sz w:val="24"/>
        </w:rPr>
        <w:t>.</w:t>
      </w:r>
      <w:r>
        <w:rPr>
          <w:rFonts w:hint="eastAsia" w:ascii="宋体" w:hAnsi="宋体" w:cs="宋体"/>
          <w:b/>
          <w:bCs/>
          <w:color w:val="auto"/>
          <w:sz w:val="24"/>
        </w:rPr>
        <w:t>技术培训及技术资料要求</w:t>
      </w:r>
      <w:bookmarkEnd w:id="12"/>
      <w:bookmarkEnd w:id="13"/>
      <w:bookmarkEnd w:id="14"/>
      <w:bookmarkEnd w:id="15"/>
      <w:bookmarkEnd w:id="16"/>
      <w:bookmarkEnd w:id="17"/>
      <w:bookmarkEnd w:id="18"/>
      <w:bookmarkEnd w:id="19"/>
      <w:bookmarkStart w:id="20" w:name="jishu"/>
      <w:bookmarkEnd w:id="20"/>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color w:val="auto"/>
          <w:sz w:val="24"/>
        </w:rPr>
      </w:pPr>
      <w:r>
        <w:rPr>
          <w:rFonts w:hint="eastAsia" w:ascii="宋体" w:hAnsi="宋体" w:cs="宋体"/>
          <w:color w:val="auto"/>
          <w:sz w:val="24"/>
          <w:lang w:val="en-US" w:eastAsia="zh-CN"/>
        </w:rPr>
        <w:t>9</w:t>
      </w:r>
      <w:r>
        <w:rPr>
          <w:rFonts w:ascii="宋体" w:hAnsi="宋体" w:cs="宋体"/>
          <w:color w:val="auto"/>
          <w:sz w:val="24"/>
        </w:rPr>
        <w:t>.1</w:t>
      </w:r>
      <w:r>
        <w:rPr>
          <w:rFonts w:hint="eastAsia" w:ascii="宋体" w:hAnsi="宋体" w:cs="宋体"/>
          <w:color w:val="auto"/>
          <w:sz w:val="24"/>
        </w:rPr>
        <w:t>技术培训：成交人应结合货物安装、调试等阶段，同步对采购人的技术人员就有关安装、维护等方面进行现场培训，使受训人员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技术培训费用由供应商负责，并包含在投标总价中。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21" w:name="_Toc351968246"/>
      <w:bookmarkStart w:id="22" w:name="_Toc419485048"/>
      <w:bookmarkStart w:id="23" w:name="_Toc442349372"/>
      <w:bookmarkStart w:id="24" w:name="_Toc422816011"/>
      <w:bookmarkStart w:id="25" w:name="_Toc83283204"/>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21"/>
      <w:bookmarkEnd w:id="22"/>
      <w:bookmarkEnd w:id="23"/>
      <w:bookmarkEnd w:id="24"/>
      <w:bookmarkEnd w:id="25"/>
      <w:bookmarkStart w:id="26" w:name="fuwu"/>
      <w:bookmarkEnd w:id="26"/>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rPr>
        <w:t>供应商须按</w:t>
      </w:r>
      <w:r>
        <w:rPr>
          <w:rFonts w:hint="eastAsia" w:ascii="宋体" w:hAnsi="宋体"/>
          <w:b w:val="0"/>
          <w:bCs/>
          <w:color w:val="auto"/>
          <w:sz w:val="24"/>
          <w:lang w:eastAsia="zh-CN"/>
        </w:rPr>
        <w:t>竞价</w:t>
      </w:r>
      <w:r>
        <w:rPr>
          <w:rFonts w:hint="eastAsia" w:ascii="宋体" w:hAnsi="宋体"/>
          <w:b w:val="0"/>
          <w:bCs/>
          <w:color w:val="auto"/>
          <w:sz w:val="24"/>
        </w:rPr>
        <w:t>文件、响应文件的要求提供合格的产品，并承诺本项目维护期为自验收合格后保修</w:t>
      </w:r>
      <w:r>
        <w:rPr>
          <w:rFonts w:hint="eastAsia" w:ascii="宋体" w:hAnsi="宋体"/>
          <w:b w:val="0"/>
          <w:bCs/>
          <w:color w:val="auto"/>
          <w:sz w:val="24"/>
          <w:lang w:val="en-US" w:eastAsia="zh-CN"/>
        </w:rPr>
        <w:t>24</w:t>
      </w:r>
      <w:r>
        <w:rPr>
          <w:rFonts w:hint="eastAsia" w:ascii="宋体" w:hAnsi="宋体"/>
          <w:b w:val="0"/>
          <w:bCs/>
          <w:color w:val="auto"/>
          <w:sz w:val="24"/>
        </w:rPr>
        <w:t>个月，维护期自验收合格签名之日起计算。维护期内，须按合同条款提供售后和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服务，非因操作不当造成要更换的产品或零配件由供应商负责包修、包换。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rPr>
        <w:t>供应商在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期内须提供上门维修服务，发生维修情况时供应商在接到采购人故障通知后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 xml:space="preserve">12 </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个月内供应商应负责对产品进行一次全面检查，如发现潜在问题，应负责排除，保证产品正常使用。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.4</w:t>
      </w:r>
      <w:r>
        <w:rPr>
          <w:rFonts w:hint="eastAsia" w:ascii="宋体" w:hAnsi="宋体"/>
          <w:b w:val="0"/>
          <w:bCs/>
          <w:color w:val="auto"/>
          <w:sz w:val="24"/>
        </w:rPr>
        <w:t>维护期结束后，供应商应在产品使用地区指定有维修能力的代理机构对产品在必要时进行定期维护和修理，可合理收取维修成本费。如遇供应商或代理商不再代理该产品，供应商需做好移交手续，原合同和协议一切条款继续有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w:t>
      </w:r>
      <w:r>
        <w:rPr>
          <w:rFonts w:ascii="宋体" w:hAnsi="宋体"/>
          <w:b w:val="0"/>
          <w:bCs/>
          <w:color w:val="auto"/>
          <w:sz w:val="24"/>
        </w:rPr>
        <w:t>11.1</w:t>
      </w:r>
      <w:r>
        <w:rPr>
          <w:rFonts w:hint="eastAsia" w:ascii="宋体" w:hAnsi="宋体"/>
          <w:b w:val="0"/>
          <w:bCs/>
          <w:color w:val="auto"/>
          <w:sz w:val="24"/>
        </w:rPr>
        <w:t>至</w:t>
      </w:r>
      <w:r>
        <w:rPr>
          <w:rFonts w:ascii="宋体" w:hAnsi="宋体"/>
          <w:b w:val="0"/>
          <w:bCs/>
          <w:color w:val="auto"/>
          <w:sz w:val="24"/>
        </w:rPr>
        <w:t>11.3</w:t>
      </w:r>
      <w:r>
        <w:rPr>
          <w:rFonts w:hint="eastAsia" w:ascii="宋体" w:hAnsi="宋体"/>
          <w:b w:val="0"/>
          <w:bCs/>
          <w:color w:val="auto"/>
          <w:sz w:val="24"/>
        </w:rPr>
        <w:t>维护期内产生的所有费用均由供应商负责，并包含在投标总价中。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27" w:name="_Toc422816012"/>
      <w:bookmarkStart w:id="28" w:name="_Toc351968247"/>
      <w:bookmarkStart w:id="29" w:name="_Toc330567035"/>
      <w:bookmarkStart w:id="30" w:name="_Toc83283205"/>
      <w:bookmarkStart w:id="31" w:name="_Toc346300368"/>
      <w:bookmarkStart w:id="32" w:name="_Toc442349373"/>
      <w:bookmarkStart w:id="33" w:name="_Toc419485049"/>
      <w:bookmarkStart w:id="34" w:name="_Toc347060297"/>
      <w:r>
        <w:rPr>
          <w:rFonts w:hint="eastAsia" w:ascii="宋体" w:hAnsi="宋体" w:cs="宋体"/>
          <w:b/>
          <w:bCs/>
          <w:color w:val="auto"/>
          <w:sz w:val="24"/>
          <w:lang w:val="en-US" w:eastAsia="zh-CN"/>
        </w:rPr>
        <w:t>11</w:t>
      </w:r>
      <w:r>
        <w:rPr>
          <w:rFonts w:ascii="宋体" w:hAnsi="宋体" w:cs="宋体"/>
          <w:b/>
          <w:bCs/>
          <w:color w:val="auto"/>
          <w:sz w:val="24"/>
        </w:rPr>
        <w:t>.</w:t>
      </w:r>
      <w:r>
        <w:rPr>
          <w:rFonts w:hint="eastAsia" w:ascii="宋体" w:hAnsi="宋体" w:cs="宋体"/>
          <w:b/>
          <w:bCs/>
          <w:color w:val="auto"/>
          <w:sz w:val="24"/>
        </w:rPr>
        <w:t>专用工具</w:t>
      </w:r>
      <w:bookmarkStart w:id="35" w:name="gongju"/>
      <w:bookmarkEnd w:id="35"/>
      <w:r>
        <w:rPr>
          <w:rFonts w:hint="eastAsia" w:ascii="宋体" w:hAnsi="宋体" w:cs="宋体"/>
          <w:b/>
          <w:bCs/>
          <w:color w:val="auto"/>
          <w:sz w:val="24"/>
        </w:rPr>
        <w:t>、特殊工具与</w:t>
      </w:r>
      <w:bookmarkEnd w:id="27"/>
      <w:bookmarkEnd w:id="28"/>
      <w:bookmarkEnd w:id="29"/>
      <w:bookmarkEnd w:id="30"/>
      <w:bookmarkEnd w:id="31"/>
      <w:bookmarkEnd w:id="32"/>
      <w:bookmarkEnd w:id="33"/>
      <w:bookmarkEnd w:id="34"/>
      <w:r>
        <w:rPr>
          <w:rFonts w:hint="eastAsia" w:ascii="宋体" w:hAnsi="宋体" w:cs="宋体"/>
          <w:b/>
          <w:bCs/>
          <w:color w:val="auto"/>
          <w:sz w:val="24"/>
        </w:rPr>
        <w:t>备品备件（若有）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.1</w:t>
      </w:r>
      <w:r>
        <w:rPr>
          <w:rFonts w:hint="eastAsia" w:ascii="宋体" w:hAnsi="宋体" w:cs="宋体"/>
          <w:b w:val="0"/>
          <w:bCs w:val="0"/>
          <w:color w:val="auto"/>
          <w:sz w:val="24"/>
        </w:rPr>
        <w:t>专用工具（若有）：供应商应向采购人提供一套维修所需的专用工具及清单</w:t>
      </w:r>
      <w:r>
        <w:rPr>
          <w:rFonts w:ascii="宋体" w:hAnsi="宋体" w:cs="宋体"/>
          <w:b w:val="0"/>
          <w:bCs w:val="0"/>
          <w:color w:val="auto"/>
          <w:sz w:val="24"/>
        </w:rPr>
        <w:t>(</w:t>
      </w:r>
      <w:r>
        <w:rPr>
          <w:rFonts w:hint="eastAsia" w:ascii="宋体" w:hAnsi="宋体" w:cs="宋体"/>
          <w:b w:val="0"/>
          <w:bCs w:val="0"/>
          <w:color w:val="auto"/>
          <w:sz w:val="24"/>
        </w:rPr>
        <w:t>清单附在响应文件中</w:t>
      </w:r>
      <w:r>
        <w:rPr>
          <w:rFonts w:ascii="宋体" w:hAnsi="宋体" w:cs="宋体"/>
          <w:b w:val="0"/>
          <w:bCs w:val="0"/>
          <w:color w:val="auto"/>
          <w:sz w:val="24"/>
        </w:rPr>
        <w:t>)</w:t>
      </w:r>
      <w:r>
        <w:rPr>
          <w:rFonts w:hint="eastAsia" w:ascii="宋体" w:hAnsi="宋体" w:cs="宋体"/>
          <w:b w:val="0"/>
          <w:bCs w:val="0"/>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.2</w:t>
      </w:r>
      <w:r>
        <w:rPr>
          <w:rFonts w:hint="eastAsia" w:ascii="宋体" w:hAnsi="宋体" w:cs="宋体"/>
          <w:b w:val="0"/>
          <w:bCs w:val="0"/>
          <w:color w:val="auto"/>
          <w:sz w:val="24"/>
        </w:rPr>
        <w:t>特殊工具（若有）：供应商应向采购人提供系统安装和维修所需的特殊专用工具及清单</w:t>
      </w:r>
      <w:r>
        <w:rPr>
          <w:rFonts w:ascii="宋体" w:hAnsi="宋体" w:cs="宋体"/>
          <w:b w:val="0"/>
          <w:bCs w:val="0"/>
          <w:color w:val="auto"/>
          <w:sz w:val="24"/>
        </w:rPr>
        <w:t>(</w:t>
      </w:r>
      <w:r>
        <w:rPr>
          <w:rFonts w:hint="eastAsia" w:ascii="宋体" w:hAnsi="宋体" w:cs="宋体"/>
          <w:b w:val="0"/>
          <w:bCs w:val="0"/>
          <w:color w:val="auto"/>
          <w:sz w:val="24"/>
        </w:rPr>
        <w:t>如果有的话</w:t>
      </w:r>
      <w:r>
        <w:rPr>
          <w:rFonts w:ascii="宋体" w:hAnsi="宋体" w:cs="宋体"/>
          <w:b w:val="0"/>
          <w:bCs w:val="0"/>
          <w:color w:val="auto"/>
          <w:sz w:val="24"/>
        </w:rPr>
        <w:t>)</w:t>
      </w:r>
      <w:r>
        <w:rPr>
          <w:rFonts w:hint="eastAsia" w:ascii="宋体" w:hAnsi="宋体" w:cs="宋体"/>
          <w:b w:val="0"/>
          <w:bCs w:val="0"/>
          <w:color w:val="auto"/>
          <w:sz w:val="24"/>
        </w:rPr>
        <w:t>并在响应文件中提供，其费用包括在报价总价中。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.3</w:t>
      </w:r>
      <w:r>
        <w:rPr>
          <w:rFonts w:hint="eastAsia" w:ascii="宋体" w:hAnsi="宋体" w:cs="宋体"/>
          <w:b w:val="0"/>
          <w:bCs w:val="0"/>
          <w:color w:val="auto"/>
          <w:sz w:val="24"/>
        </w:rPr>
        <w:t>备品备件（若有）：供应商应提供设备在质量保证期内所需的备品备件，其费用含在报价总价中。</w:t>
      </w:r>
      <w:bookmarkStart w:id="36" w:name="zhuanli"/>
    </w:p>
    <w:bookmarkEnd w:id="36"/>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ascii="宋体"/>
          <w:b/>
          <w:color w:val="auto"/>
          <w:sz w:val="24"/>
        </w:rPr>
      </w:pPr>
      <w:r>
        <w:rPr>
          <w:rFonts w:hint="eastAsia" w:ascii="宋体" w:hAnsi="宋体" w:cs="宋体"/>
          <w:b/>
          <w:bCs/>
          <w:color w:val="auto"/>
          <w:sz w:val="24"/>
          <w:lang w:val="en-US" w:eastAsia="zh-CN"/>
        </w:rPr>
        <w:t>12</w:t>
      </w:r>
      <w:r>
        <w:rPr>
          <w:rFonts w:ascii="宋体" w:hAnsi="宋体" w:cs="宋体"/>
          <w:b/>
          <w:bCs/>
          <w:color w:val="auto"/>
          <w:sz w:val="24"/>
        </w:rPr>
        <w:t>.</w:t>
      </w:r>
      <w:r>
        <w:rPr>
          <w:rFonts w:hint="eastAsia" w:ascii="宋体" w:hAnsi="宋体"/>
          <w:b/>
          <w:color w:val="auto"/>
          <w:sz w:val="24"/>
        </w:rPr>
        <w:t>技术资料：供应商应向采购人提供不少于以下列明的中文</w:t>
      </w:r>
      <w:r>
        <w:rPr>
          <w:rFonts w:ascii="宋体" w:hAnsi="宋体"/>
          <w:b/>
          <w:color w:val="auto"/>
          <w:sz w:val="24"/>
        </w:rPr>
        <w:t>(</w:t>
      </w:r>
      <w:r>
        <w:rPr>
          <w:rFonts w:hint="eastAsia" w:ascii="宋体" w:hAnsi="宋体"/>
          <w:b/>
          <w:color w:val="auto"/>
          <w:sz w:val="24"/>
        </w:rPr>
        <w:t>或英文</w:t>
      </w:r>
      <w:r>
        <w:rPr>
          <w:rFonts w:ascii="宋体" w:hAnsi="宋体"/>
          <w:b/>
          <w:color w:val="auto"/>
          <w:sz w:val="24"/>
        </w:rPr>
        <w:t>)</w:t>
      </w:r>
      <w:r>
        <w:rPr>
          <w:rFonts w:hint="eastAsia" w:ascii="宋体" w:hAnsi="宋体"/>
          <w:b/>
          <w:color w:val="auto"/>
          <w:sz w:val="24"/>
        </w:rPr>
        <w:t>技术资料，在产品交货时同时提供，并提供货物相关的证明文件或资料，其费用应包括在报价内。成交后应提供的技术资料（如有）如下</w:t>
      </w:r>
      <w:r>
        <w:rPr>
          <w:rFonts w:ascii="宋体" w:hAnsi="宋体"/>
          <w:b/>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1)</w:t>
      </w:r>
      <w:r>
        <w:rPr>
          <w:rFonts w:hint="eastAsia" w:ascii="宋体" w:hAnsi="宋体"/>
          <w:b w:val="0"/>
          <w:bCs/>
          <w:color w:val="auto"/>
          <w:sz w:val="24"/>
        </w:rPr>
        <w:t>出厂明细表</w:t>
      </w:r>
      <w:r>
        <w:rPr>
          <w:rFonts w:ascii="宋体" w:hAnsi="宋体"/>
          <w:b w:val="0"/>
          <w:bCs/>
          <w:color w:val="auto"/>
          <w:sz w:val="24"/>
        </w:rPr>
        <w:t>(</w:t>
      </w:r>
      <w:r>
        <w:rPr>
          <w:rFonts w:hint="eastAsia" w:ascii="宋体" w:hAnsi="宋体"/>
          <w:b w:val="0"/>
          <w:bCs/>
          <w:color w:val="auto"/>
          <w:sz w:val="24"/>
        </w:rPr>
        <w:t>装箱单</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2)</w:t>
      </w:r>
      <w:r>
        <w:rPr>
          <w:rFonts w:hint="eastAsia" w:ascii="宋体" w:hAnsi="宋体"/>
          <w:b w:val="0"/>
          <w:bCs/>
          <w:color w:val="auto"/>
          <w:sz w:val="24"/>
        </w:rPr>
        <w:t>出厂检验报告、合格证书</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3)</w:t>
      </w:r>
      <w:r>
        <w:rPr>
          <w:rFonts w:hint="eastAsia" w:ascii="宋体" w:hAnsi="宋体"/>
          <w:b w:val="0"/>
          <w:bCs/>
          <w:color w:val="auto"/>
          <w:sz w:val="24"/>
        </w:rPr>
        <w:t>安装手册</w:t>
      </w:r>
      <w:r>
        <w:rPr>
          <w:rFonts w:ascii="宋体" w:hAnsi="宋体"/>
          <w:b w:val="0"/>
          <w:bCs/>
          <w:color w:val="auto"/>
          <w:sz w:val="24"/>
        </w:rPr>
        <w:t>;</w:t>
      </w:r>
      <w:r>
        <w:rPr>
          <w:rFonts w:hint="eastAsia" w:ascii="宋体" w:hAnsi="宋体"/>
          <w:b w:val="0"/>
          <w:bCs/>
          <w:color w:val="auto"/>
          <w:sz w:val="24"/>
        </w:rPr>
        <w:t>操作手册</w:t>
      </w:r>
      <w:r>
        <w:rPr>
          <w:rFonts w:ascii="宋体" w:hAnsi="宋体"/>
          <w:b w:val="0"/>
          <w:bCs/>
          <w:color w:val="auto"/>
          <w:sz w:val="24"/>
        </w:rPr>
        <w:t>(</w:t>
      </w:r>
      <w:r>
        <w:rPr>
          <w:rFonts w:hint="eastAsia" w:ascii="宋体" w:hAnsi="宋体"/>
          <w:b w:val="0"/>
          <w:bCs/>
          <w:color w:val="auto"/>
          <w:sz w:val="24"/>
        </w:rPr>
        <w:t>中文</w:t>
      </w:r>
      <w:r>
        <w:rPr>
          <w:rFonts w:ascii="宋体" w:hAnsi="宋体"/>
          <w:b w:val="0"/>
          <w:bCs/>
          <w:color w:val="auto"/>
          <w:sz w:val="24"/>
        </w:rPr>
        <w:t>);</w:t>
      </w:r>
      <w:r>
        <w:rPr>
          <w:rFonts w:hint="eastAsia" w:ascii="宋体" w:hAnsi="宋体"/>
          <w:b w:val="0"/>
          <w:bCs/>
          <w:color w:val="auto"/>
          <w:sz w:val="24"/>
        </w:rPr>
        <w:t>维修手册</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4)</w:t>
      </w:r>
      <w:r>
        <w:rPr>
          <w:rFonts w:hint="eastAsia" w:ascii="宋体" w:hAnsi="宋体"/>
          <w:b w:val="0"/>
          <w:bCs/>
          <w:color w:val="auto"/>
          <w:sz w:val="24"/>
        </w:rPr>
        <w:t>使用说明书</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5)</w:t>
      </w:r>
      <w:r>
        <w:rPr>
          <w:rFonts w:hint="eastAsia" w:ascii="宋体" w:hAnsi="宋体"/>
          <w:b w:val="0"/>
          <w:bCs/>
          <w:color w:val="auto"/>
          <w:sz w:val="24"/>
        </w:rPr>
        <w:t>设备安装、调试、维修线路原理图等安装调试资料</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6)</w:t>
      </w:r>
      <w:r>
        <w:rPr>
          <w:rFonts w:hint="eastAsia" w:ascii="宋体" w:hAnsi="宋体"/>
          <w:b w:val="0"/>
          <w:bCs/>
          <w:color w:val="auto"/>
          <w:sz w:val="24"/>
        </w:rPr>
        <w:t>提供原产地制造商的产品证明；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7)</w:t>
      </w:r>
      <w:r>
        <w:rPr>
          <w:rFonts w:hint="eastAsia" w:ascii="宋体" w:hAnsi="宋体"/>
          <w:b w:val="0"/>
          <w:bCs/>
          <w:color w:val="auto"/>
          <w:sz w:val="24"/>
        </w:rPr>
        <w:t>合同中要求的其它文件资料。</w:t>
      </w:r>
    </w:p>
    <w:p>
      <w:pPr>
        <w:widowControl/>
        <w:tabs>
          <w:tab w:val="left" w:pos="900"/>
          <w:tab w:val="left" w:pos="1100"/>
        </w:tabs>
        <w:spacing w:line="46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sz w:val="24"/>
          <w:lang w:val="en-US" w:eastAsia="zh-CN"/>
        </w:rPr>
        <w:t>13</w:t>
      </w:r>
      <w:r>
        <w:rPr>
          <w:rFonts w:hint="eastAsia" w:ascii="宋体" w:hAnsi="宋体" w:cs="宋体"/>
          <w:b/>
          <w:bCs/>
          <w:color w:val="auto"/>
          <w:sz w:val="24"/>
        </w:rPr>
        <w:t>.违约责任</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因成交人供应商原因造成采购供货合同无法按时签订，视为成交人供应商违约，采购人有权没收其履约保证金，如履约保证金不能弥补成交人供应商违约对采购人造成的损失的，成交人供应商还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.2签订合同后因成交人供应商任何违约行为导致合同无法正常继续履行或提前终止，采购人有权没收履约保证金。</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.3本项目不允许成交人供应商以任何名义和理由进行转包，如有发现，采购人有权终止合同并没收履约保证金，对采购人造成的损失的，需另行支付相应的赔偿。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4成交人供应商未在合同规定期限内完成施工并将设备交付采购人使用的，每逾期1日须向采购人支付违约金3000元，不足1日的按1日计算；超过7日（含7日）不能完成的，视为成交人供应商不能供货，采购人有权没收履约保证金并另行采购，由此产生的差价由成交人供应商承担。因疫情、国家政策、不可抗力因素造成的逾期或成交人供应商申请延期并获得采购人批准的除外。</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5成交人供应商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6因成交人供应商原因发生重大质量事故，除依约承担赔偿责任外，还将按有关质量管理办法规定执行。同时，采购人有权解除合同，履约保证金不予退还，给采购人造成损失的还应当承担赔偿责任，并报相关行政主管部门处罚。</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7成交人供应商在安装或其他作业时发生安全事故的，成交人供应商除承担相应的法律责任外，造成采购方经济损失的，应给予相应的赔偿。同时采购方有权单方面解除合同并没收成交人供应商的履约保证金。未造成安全事故的，成交人供应商应在采购方的限期内进行整改，对造成采购方的损失进行赔偿。</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.9在明确违约责任后，成交人供应商应在接到书面通知起7日内将违约金、赔偿金等转入采购人指定账户，采购人也有权从尚未支付的货款或履约保证金中扣除。</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.10成交人供应商提供的货物质量不符合合同(或成交人供应商投标/响应文件) 约定的，成交人供应商应无条件予以配合免费退货换货，因退换货不及时影响采购人工作的，发现一次，成交人供应商应向采购人支付 5000 元违约金，因产品质量问题造成甲方或任何第三方损害的，成交人供应商应承担一切损害赔偿、法律责任，采购人有权单方解除合同，不予退还成交人供应商的履约保证金。违约金可直接从应付货款或质保金中扣除，不足部分成交人供应商还须向甲方缴纳；违约金不足以弥补给甲方造成的损失的，成交人供应商还应承担相应的赔偿责任。</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9"/>
        <w:rPr>
          <w:rFonts w:ascii="宋体" w:hAnsi="宋体" w:cs="宋体"/>
          <w:b/>
          <w:color w:val="auto"/>
          <w:sz w:val="24"/>
        </w:rPr>
      </w:pPr>
      <w:r>
        <w:rPr>
          <w:rFonts w:hint="eastAsia" w:ascii="宋体" w:hAnsi="宋体" w:cs="宋体"/>
          <w:b/>
          <w:color w:val="auto"/>
          <w:sz w:val="24"/>
          <w:lang w:val="en-US" w:eastAsia="zh-CN"/>
        </w:rPr>
        <w:t>14</w:t>
      </w:r>
      <w:r>
        <w:rPr>
          <w:rFonts w:hint="eastAsia" w:ascii="宋体" w:hAnsi="宋体" w:cs="宋体"/>
          <w:b/>
          <w:color w:val="auto"/>
          <w:sz w:val="24"/>
        </w:rPr>
        <w:t>.安全责任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.1成交人须签订安全协议书，上岗操作人员必须依照有关规定持证上岗，严禁无证人员操作。</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.2施工现场临时用电线路、用电设施的安装和使用必须符合相关电气安装规范，并按照临时用电施工组织设计进行架设，严禁随意拉线接电。</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.3施工现场应采取专项防护措施，以保证施工现场及其相邻区域人员和设施的安全。</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.4成交人供应商自行负责在施工现场中所发生的人员伤亡和财产损失；成交人供应商应为施工人员投相关人身健康或者工伤保险，以保障施工人员人身安全。</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9"/>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5</w:t>
      </w:r>
      <w:r>
        <w:rPr>
          <w:rFonts w:hint="eastAsia" w:ascii="宋体" w:hAnsi="宋体" w:cs="宋体"/>
          <w:b/>
          <w:color w:val="auto"/>
          <w:sz w:val="24"/>
        </w:rPr>
        <w:t>.保密条款</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.2成交供应商违反本条约定泄露采购人的涉密信息的，应承担相应的法律责任，造成采购人损失的，成交供应商应当依法承担赔偿责任。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.3本条款不因合同届满或解除而失效。</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color w:val="auto"/>
        </w:rPr>
      </w:pPr>
      <w:r>
        <w:rPr>
          <w:rFonts w:hint="eastAsia"/>
          <w:b/>
          <w:color w:val="auto"/>
        </w:rPr>
        <w:t>1</w:t>
      </w:r>
      <w:r>
        <w:rPr>
          <w:rFonts w:hint="eastAsia"/>
          <w:b/>
          <w:color w:val="auto"/>
          <w:lang w:val="en-US" w:eastAsia="zh-CN"/>
        </w:rPr>
        <w:t>6</w:t>
      </w:r>
      <w:r>
        <w:rPr>
          <w:rFonts w:hint="eastAsia"/>
          <w:b/>
          <w:color w:val="auto"/>
        </w:rPr>
        <w:t>.廉政条款</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rPr>
      </w:pPr>
      <w:r>
        <w:rPr>
          <w:rStyle w:val="21"/>
          <w:rFonts w:hint="eastAsia" w:ascii="宋体" w:hAnsi="宋体" w:cs="宋体"/>
          <w:b/>
          <w:bCs/>
          <w:color w:val="auto"/>
          <w:sz w:val="24"/>
        </w:rPr>
        <w:t>1</w:t>
      </w:r>
      <w:r>
        <w:rPr>
          <w:rStyle w:val="21"/>
          <w:rFonts w:hint="eastAsia" w:cs="宋体"/>
          <w:b/>
          <w:bCs/>
          <w:color w:val="auto"/>
          <w:sz w:val="24"/>
          <w:lang w:val="en-US"/>
        </w:rPr>
        <w:t>7</w:t>
      </w:r>
      <w:r>
        <w:rPr>
          <w:rStyle w:val="21"/>
          <w:rFonts w:hint="eastAsia" w:ascii="宋体" w:hAnsi="宋体" w:cs="宋体"/>
          <w:b/>
          <w:bCs/>
          <w:color w:val="auto"/>
          <w:sz w:val="24"/>
        </w:rPr>
        <w:t>.诉讼相关费用承担</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若因采购人未履行本合同项下义务，成交供应商有权没收保证金。并承担采购人所产生的一切损失（包括但不限于人身财产的损失、律师费、诉讼费、保全费、鉴定费等），均由成交供应商承担赔偿责任。</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lang w:val="zh-TW"/>
        </w:rPr>
      </w:pPr>
      <w:r>
        <w:rPr>
          <w:rFonts w:hint="eastAsia"/>
          <w:b/>
          <w:bCs/>
          <w:color w:val="auto"/>
        </w:rPr>
        <w:t>1</w:t>
      </w:r>
      <w:r>
        <w:rPr>
          <w:rFonts w:hint="eastAsia"/>
          <w:b/>
          <w:bCs/>
          <w:color w:val="auto"/>
          <w:lang w:val="en-US" w:eastAsia="zh-CN"/>
        </w:rPr>
        <w:t>8</w:t>
      </w:r>
      <w:r>
        <w:rPr>
          <w:rFonts w:hint="eastAsia"/>
          <w:b/>
          <w:bCs/>
          <w:color w:val="auto"/>
        </w:rPr>
        <w:t>.</w:t>
      </w:r>
      <w:r>
        <w:rPr>
          <w:rFonts w:hint="eastAsia"/>
          <w:b/>
          <w:bCs/>
          <w:color w:val="auto"/>
          <w:lang w:val="zh-TW"/>
        </w:rPr>
        <w:t>不可抗力</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lang w:val="zh-TW"/>
        </w:rPr>
      </w:pPr>
      <w:r>
        <w:rPr>
          <w:rFonts w:hint="eastAsia"/>
          <w:b/>
          <w:bCs/>
          <w:color w:val="auto"/>
        </w:rPr>
        <w:t>1</w:t>
      </w:r>
      <w:r>
        <w:rPr>
          <w:rFonts w:hint="eastAsia"/>
          <w:b/>
          <w:bCs/>
          <w:color w:val="auto"/>
          <w:lang w:val="en-US" w:eastAsia="zh-CN"/>
        </w:rPr>
        <w:t>9</w:t>
      </w:r>
      <w:r>
        <w:rPr>
          <w:rFonts w:hint="eastAsia"/>
          <w:b/>
          <w:bCs/>
          <w:color w:val="auto"/>
        </w:rPr>
        <w:t>.</w:t>
      </w:r>
      <w:r>
        <w:rPr>
          <w:rFonts w:hint="eastAsia"/>
          <w:b/>
          <w:bCs/>
          <w:color w:val="auto"/>
          <w:lang w:val="zh-TW"/>
        </w:rPr>
        <w:t>合同纠纷处理方式</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.1 合同争议处理方式</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甲乙双方必须认真履行合同条款。因本合同或与本合同有关的一切事项发生争议，由双方友好协商解决，协商不成的，任何一方均可向采购人所在地人民法院提起诉讼。</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.2 合同补充和修改</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本合同生效后，双方对合同内容的变更或补充应采取书面形式，并经双方签字并盖章确认。</w:t>
      </w:r>
    </w:p>
    <w:p>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ascii="宋体" w:hAnsi="宋体" w:cs="宋体"/>
          <w:b/>
          <w:bCs/>
          <w:color w:val="auto"/>
          <w:sz w:val="24"/>
          <w:u w:val="single"/>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40" w:lineRule="exact"/>
        <w:jc w:val="center"/>
        <w:rPr>
          <w:rFonts w:ascii="宋体" w:hAnsi="宋体"/>
          <w:b/>
          <w:bCs/>
          <w:color w:val="FF0000"/>
          <w:sz w:val="36"/>
          <w:szCs w:val="36"/>
        </w:rPr>
      </w:pPr>
    </w:p>
    <w:p>
      <w:pPr>
        <w:widowControl/>
        <w:jc w:val="center"/>
        <w:rPr>
          <w:rFonts w:hint="eastAsia" w:ascii="宋体" w:hAnsi="宋体"/>
          <w:b/>
          <w:bCs/>
          <w:color w:val="FF0000"/>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w:t>
      </w:r>
      <w:r>
        <w:rPr>
          <w:rFonts w:hint="eastAsia"/>
          <w:b/>
          <w:lang w:eastAsia="zh-CN"/>
        </w:rPr>
        <w:t>竞价</w:t>
      </w:r>
      <w:r>
        <w:rPr>
          <w:rFonts w:hint="eastAsia"/>
          <w:b/>
        </w:rPr>
        <w:t>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24"/>
        <w:pageBreakBefore w:val="0"/>
        <w:kinsoku/>
        <w:overflowPunct/>
        <w:topLinePunct w:val="0"/>
        <w:autoSpaceDE/>
        <w:autoSpaceDN/>
        <w:bidi w:val="0"/>
        <w:adjustRightInd/>
        <w:snapToGrid/>
        <w:spacing w:line="360" w:lineRule="auto"/>
        <w:textAlignment w:val="auto"/>
        <w:outlineLvl w:val="9"/>
        <w:rPr>
          <w:rFonts w:ascii="宋体" w:hAnsi="宋体" w:eastAsia="宋体"/>
        </w:rPr>
      </w:pPr>
      <w:r>
        <w:rPr>
          <w:rFonts w:hint="eastAsia" w:ascii="宋体" w:hAnsi="宋体" w:eastAsia="宋体"/>
          <w:b/>
        </w:rPr>
        <w:t>4、采购人对合同格式有要求，可使用相应合同格式。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甲方：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乙方：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根据项目编号为________ 的 ___________项目（以下简称：“本项目”）的采购结果，遵循平等、自愿、公平和诚实信用的原则，双方签署本合同，具体内容如下：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一、合同组成部分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1.1本合同条款及附件；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1.2采购文件及其附件、补充文件；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1.3乙方的响应文件及其附件、补充文件；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1.4其他文件或材料：</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二、合同标的</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三、合同金额</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3.1合同总价：人民币（大写）_________ 元（￥_________元）；</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3.2合同总价组成：___________；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3.3其他需说明事项：___________；</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四、合同标的交付</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4.1交付时间：___________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4.2交付地点：___________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4.3交付条件：___________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4.4供货要求：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（4）其他供货要求：</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五、质量标准及要求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5.1质量标准及要求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（2）其他质量要求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5.2节能环保产品要求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5.3质量保证范围、质量保证期及售后服务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（1）质量保证范围：___________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（2）本合同乙方所供应的货物质量保证期自验收合格之日起{_______月。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（3）售后服务应按法律法规和采购文件约定执行，具体如下：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5.4商品安全责任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商品安全责任应按照法律法规和采购文件的规定执行，具体如下：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六、安装调试、验收及退、换货</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6.1安装调试、验收应按照采购文件、乙方响应文件的规定或约定进行，具体如下：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6.2本项目是否邀请其他投标人参与验收：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6.3本项目是否邀请专家参与验收：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6.4本项目是否邀请国家认可的质量检测机构参与验收：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6.5履约验收：___________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6.6退、换货：___________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6.7其他：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七、资金支付方式、条件和时间</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八、履约保证金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□有，□无。具体如下违约：（按照采购文件规定填写）。</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8.1乙方向甲方缴纳人民币 元（大写： ）作为本合同的履约保证金。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8.2履约保证金缴纳形式：支票/汇票/电汇/保函等非现金形式。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8.3履约保证金退还： （根据实际情况填写） 。</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九、合同期限</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10.1甲方违约责任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（1）甲方无正当理由拒收乙方交付的合格产品的，甲方向乙方偿付拒收货款总值_____的违约金；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（2）甲方无故逾期验收和办理合同款项支付手续的,甲方应按逾期付款总额每日_______向乙方支付违约金。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（3）其他违约情形_______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10.2乙方违约责任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（3）乙方不按合同约定履约的，甲方可以解除采购合同，并对乙方已缴纳的履约保证金作“不予退还”处理。同时，乙方还须按向甲方支付违约金：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（4）其他违约情形</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十一、不可抗力事件处理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十二、保密条款</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12.1对于在采购和合同履行过程中所获悉的属于保密的内容，甲、乙双方均负有保密义务。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12.2其他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十三、解决争议的方法</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13.1甲、乙双方协商解决。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13.2若协商解决不成，双方明确按以下第__方式解决：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1、提交仲裁委员会仲裁，具体如下：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2、向人民法院提起诉讼，具体如下：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十四、合同其他条款</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十五、其他约定</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15.1合同文件与本合同具有同等法律效力。</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15.2合同生效：合同经双方法定代表人或委托代理人签字并加盖单位公章后生效。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15.3本合同未尽事宜，遵照《中华人民共和国民法典》有关条文执行。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15.4本合同正本一式_______份，具有同等法律效力，甲方、乙方各执_______份；副本_______份，_______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15.5其他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十六、合同附件</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甲方（采购人）：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乙方（中标或成交供应商）：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签订地点：__________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签订日期：___年___月___日</w:t>
      </w:r>
    </w:p>
    <w:p>
      <w:pPr>
        <w:pStyle w:val="17"/>
        <w:rPr>
          <w:sz w:val="24"/>
        </w:rPr>
      </w:pPr>
    </w:p>
    <w:p>
      <w:pPr>
        <w:pStyle w:val="17"/>
        <w:ind w:left="0" w:leftChars="0" w:firstLine="0"/>
      </w:pPr>
    </w:p>
    <w:p>
      <w:pPr>
        <w:widowControl/>
        <w:spacing w:line="400" w:lineRule="exact"/>
        <w:jc w:val="center"/>
        <w:rPr>
          <w:rFonts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r>
        <w:br w:type="page"/>
      </w:r>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
    <w:p>
      <w:pPr>
        <w:pStyle w:val="16"/>
        <w:ind w:firstLine="210"/>
      </w:pPr>
    </w:p>
    <w:p>
      <w:pPr>
        <w:pStyle w:val="17"/>
      </w:pPr>
    </w:p>
    <w:p>
      <w:pPr>
        <w:rPr>
          <w:rFonts w:hint="eastAsia" w:hAnsi="宋体" w:cs="宋体"/>
          <w:b/>
          <w:sz w:val="36"/>
        </w:rPr>
      </w:pPr>
      <w:r>
        <w:rPr>
          <w:rFonts w:hint="eastAsia" w:hAnsi="宋体" w:cs="宋体"/>
          <w:b/>
          <w:sz w:val="36"/>
        </w:rPr>
        <w:br w:type="page"/>
      </w: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1、网上竞价承诺书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cs="宋体"/>
          <w:bCs/>
          <w:sz w:val="24"/>
        </w:rPr>
        <w:t>3、</w:t>
      </w:r>
      <w:r>
        <w:rPr>
          <w:rFonts w:hint="eastAsia" w:hAnsi="宋体"/>
          <w:sz w:val="24"/>
        </w:rPr>
        <w:t>单位授权书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sz w:val="24"/>
        </w:rPr>
        <w:t>4、网上竞价文件要求的其他资格和技术商务材料</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723" w:firstLine="3092" w:firstLineChars="1100"/>
        <w:textAlignment w:val="auto"/>
        <w:outlineLvl w:val="9"/>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outlineLvl w:val="9"/>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outlineLvl w:val="9"/>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4.特定资格要求（若有）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按网上竞价文件第一章要求提供</w:t>
      </w:r>
    </w:p>
    <w:p>
      <w:pPr>
        <w:rPr>
          <w:rFonts w:hint="eastAsia" w:ascii="宋体" w:hAnsi="宋体"/>
          <w:b/>
          <w:sz w:val="28"/>
          <w:szCs w:val="28"/>
        </w:rPr>
      </w:pPr>
      <w:r>
        <w:rPr>
          <w:rFonts w:hint="eastAsia" w:ascii="宋体" w:hAnsi="宋体"/>
          <w:b/>
          <w:sz w:val="28"/>
          <w:szCs w:val="28"/>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楷体_GB2312" w:eastAsia="楷体_GB2312"/>
          <w:b/>
          <w:sz w:val="40"/>
          <w:szCs w:val="40"/>
        </w:rPr>
      </w:pPr>
      <w:r>
        <w:rPr>
          <w:rFonts w:hint="eastAsia" w:ascii="宋体" w:hAnsi="宋体"/>
          <w:b/>
          <w:sz w:val="28"/>
          <w:szCs w:val="28"/>
        </w:rPr>
        <w:t>5.供应商需提供的其他材料</w:t>
      </w:r>
    </w:p>
    <w:p>
      <w:pPr>
        <w:pStyle w:val="30"/>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9"/>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82"/>
        <w:gridCol w:w="2428"/>
        <w:gridCol w:w="1263"/>
        <w:gridCol w:w="1163"/>
        <w:gridCol w:w="1435"/>
        <w:gridCol w:w="14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7" w:type="pct"/>
            <w:vAlign w:val="center"/>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49" w:type="pct"/>
            <w:vAlign w:val="center"/>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32" w:type="pct"/>
            <w:vAlign w:val="center"/>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货物名称</w:t>
            </w:r>
          </w:p>
        </w:tc>
        <w:tc>
          <w:tcPr>
            <w:tcW w:w="641" w:type="pct"/>
            <w:vAlign w:val="center"/>
          </w:tcPr>
          <w:p>
            <w:pPr>
              <w:pStyle w:val="30"/>
              <w:spacing w:line="360" w:lineRule="auto"/>
              <w:jc w:val="center"/>
              <w:rPr>
                <w:rFonts w:hint="default" w:ascii="宋体" w:hAnsi="宋体" w:cs="宋体"/>
                <w:sz w:val="24"/>
                <w:szCs w:val="24"/>
              </w:rPr>
            </w:pPr>
            <w:r>
              <w:rPr>
                <w:rFonts w:ascii="宋体" w:hAnsi="宋体" w:cs="宋体"/>
                <w:sz w:val="24"/>
                <w:szCs w:val="24"/>
                <w:lang w:eastAsia="zh-CN"/>
              </w:rPr>
              <w:t>数量</w:t>
            </w:r>
          </w:p>
        </w:tc>
        <w:tc>
          <w:tcPr>
            <w:tcW w:w="590" w:type="pct"/>
            <w:vAlign w:val="center"/>
          </w:tcPr>
          <w:p>
            <w:pPr>
              <w:pStyle w:val="3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品牌</w:t>
            </w:r>
          </w:p>
        </w:tc>
        <w:tc>
          <w:tcPr>
            <w:tcW w:w="728" w:type="pct"/>
            <w:vAlign w:val="center"/>
          </w:tcPr>
          <w:p>
            <w:pPr>
              <w:pStyle w:val="3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型号（若有）</w:t>
            </w:r>
          </w:p>
        </w:tc>
        <w:tc>
          <w:tcPr>
            <w:tcW w:w="729" w:type="pct"/>
            <w:vAlign w:val="center"/>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7" w:type="pct"/>
            <w:vMerge w:val="restart"/>
            <w:vAlign w:val="center"/>
          </w:tcPr>
          <w:p>
            <w:pPr>
              <w:pStyle w:val="30"/>
              <w:spacing w:line="360" w:lineRule="auto"/>
              <w:jc w:val="center"/>
              <w:rPr>
                <w:rFonts w:hint="default" w:ascii="宋体" w:hAnsi="宋体" w:cs="宋体"/>
                <w:sz w:val="24"/>
                <w:szCs w:val="24"/>
              </w:rPr>
            </w:pPr>
            <w:r>
              <w:rPr>
                <w:rFonts w:hint="eastAsia" w:ascii="宋体" w:hAnsi="宋体" w:cs="宋体"/>
                <w:sz w:val="24"/>
                <w:szCs w:val="24"/>
                <w:lang w:val="en-US" w:eastAsia="zh-CN"/>
              </w:rPr>
              <w:t>1</w:t>
            </w:r>
          </w:p>
        </w:tc>
        <w:tc>
          <w:tcPr>
            <w:tcW w:w="549" w:type="pct"/>
            <w:vMerge w:val="restart"/>
            <w:vAlign w:val="center"/>
          </w:tcPr>
          <w:p>
            <w:pPr>
              <w:pStyle w:val="3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cs="宋体"/>
                <w:b w:val="0"/>
                <w:bCs w:val="0"/>
                <w:color w:val="auto"/>
                <w:sz w:val="24"/>
                <w:szCs w:val="24"/>
                <w:highlight w:val="none"/>
                <w:vertAlign w:val="baseline"/>
                <w:lang w:val="en-US" w:eastAsia="zh-CN"/>
              </w:rPr>
              <w:t>轨道</w:t>
            </w:r>
          </w:p>
        </w:tc>
        <w:tc>
          <w:tcPr>
            <w:tcW w:w="641" w:type="pct"/>
            <w:vMerge w:val="restart"/>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1批</w:t>
            </w:r>
          </w:p>
        </w:tc>
        <w:tc>
          <w:tcPr>
            <w:tcW w:w="590" w:type="pct"/>
          </w:tcPr>
          <w:p>
            <w:pPr>
              <w:spacing w:line="360" w:lineRule="auto"/>
              <w:rPr>
                <w:rFonts w:ascii="宋体" w:hAnsi="宋体" w:cs="宋体"/>
                <w:sz w:val="24"/>
              </w:rPr>
            </w:pPr>
          </w:p>
        </w:tc>
        <w:tc>
          <w:tcPr>
            <w:tcW w:w="728" w:type="pct"/>
          </w:tcPr>
          <w:p>
            <w:pPr>
              <w:spacing w:line="360" w:lineRule="auto"/>
              <w:rPr>
                <w:rFonts w:ascii="宋体" w:hAnsi="宋体" w:cs="宋体"/>
                <w:sz w:val="24"/>
              </w:rPr>
            </w:pPr>
          </w:p>
        </w:tc>
        <w:tc>
          <w:tcPr>
            <w:tcW w:w="729"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7" w:type="pct"/>
            <w:vMerge w:val="continue"/>
            <w:tcBorders/>
          </w:tcPr>
          <w:p>
            <w:pPr>
              <w:pStyle w:val="30"/>
              <w:spacing w:line="360" w:lineRule="auto"/>
              <w:jc w:val="both"/>
              <w:rPr>
                <w:rFonts w:hint="default" w:ascii="宋体" w:hAnsi="宋体" w:cs="宋体"/>
                <w:sz w:val="24"/>
                <w:szCs w:val="24"/>
              </w:rPr>
            </w:pPr>
          </w:p>
        </w:tc>
        <w:tc>
          <w:tcPr>
            <w:tcW w:w="549" w:type="pct"/>
            <w:vMerge w:val="continue"/>
            <w:tcBorders/>
          </w:tcPr>
          <w:p>
            <w:pPr>
              <w:spacing w:line="360" w:lineRule="auto"/>
              <w:rPr>
                <w:rFonts w:ascii="宋体" w:hAnsi="宋体" w:cs="宋体"/>
                <w:sz w:val="24"/>
              </w:rPr>
            </w:pP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eastAsia="宋体" w:cs="宋体"/>
                <w:b w:val="0"/>
                <w:bCs w:val="0"/>
                <w:color w:val="auto"/>
                <w:sz w:val="24"/>
                <w:szCs w:val="24"/>
                <w:highlight w:val="none"/>
                <w:vertAlign w:val="baseline"/>
                <w:lang w:val="en-US" w:eastAsia="zh-CN"/>
              </w:rPr>
              <w:t>高精度半遮光窗帘布</w:t>
            </w:r>
          </w:p>
        </w:tc>
        <w:tc>
          <w:tcPr>
            <w:tcW w:w="641" w:type="pct"/>
            <w:vMerge w:val="continue"/>
            <w:tcBorders/>
          </w:tcPr>
          <w:p>
            <w:pPr>
              <w:spacing w:line="360" w:lineRule="auto"/>
              <w:rPr>
                <w:rFonts w:ascii="宋体" w:hAnsi="宋体" w:cs="宋体"/>
                <w:sz w:val="24"/>
              </w:rPr>
            </w:pPr>
          </w:p>
        </w:tc>
        <w:tc>
          <w:tcPr>
            <w:tcW w:w="590" w:type="pct"/>
          </w:tcPr>
          <w:p>
            <w:pPr>
              <w:spacing w:line="360" w:lineRule="auto"/>
              <w:rPr>
                <w:rFonts w:ascii="宋体" w:hAnsi="宋体" w:cs="宋体"/>
                <w:sz w:val="24"/>
              </w:rPr>
            </w:pPr>
          </w:p>
        </w:tc>
        <w:tc>
          <w:tcPr>
            <w:tcW w:w="728" w:type="pct"/>
          </w:tcPr>
          <w:p>
            <w:pPr>
              <w:spacing w:line="360" w:lineRule="auto"/>
              <w:rPr>
                <w:rFonts w:ascii="宋体" w:hAnsi="宋体" w:cs="宋体"/>
                <w:sz w:val="24"/>
              </w:rPr>
            </w:pPr>
          </w:p>
        </w:tc>
        <w:tc>
          <w:tcPr>
            <w:tcW w:w="729" w:type="pct"/>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1</w:t>
      </w:r>
      <w:r>
        <w:rPr>
          <w:rFonts w:ascii="宋体" w:hAnsi="宋体" w:cs="宋体"/>
          <w:sz w:val="24"/>
          <w:szCs w:val="24"/>
        </w:rPr>
        <w:t>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w:t>
      </w:r>
      <w:r>
        <w:rPr>
          <w:rFonts w:hint="eastAsia" w:ascii="宋体" w:hAnsi="宋体" w:cs="宋体"/>
          <w:sz w:val="24"/>
          <w:szCs w:val="24"/>
          <w:lang w:eastAsia="zh-CN"/>
        </w:rPr>
        <w:t>（若有）</w:t>
      </w:r>
      <w:r>
        <w:rPr>
          <w:rFonts w:ascii="宋体" w:hAnsi="宋体" w:cs="宋体"/>
          <w:sz w:val="24"/>
          <w:szCs w:val="24"/>
        </w:rPr>
        <w:t>。“来源地”应填写货物的原产地。</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rPr>
          <w:rFonts w:ascii="宋体" w:hAnsi="宋体" w:cs="宋体"/>
          <w:sz w:val="24"/>
        </w:rPr>
      </w:pPr>
      <w:r>
        <w:rPr>
          <w:rFonts w:ascii="宋体" w:hAnsi="宋体" w:cs="宋体"/>
          <w:sz w:val="24"/>
        </w:rPr>
        <w:br w:type="page"/>
      </w:r>
    </w:p>
    <w:p/>
    <w:p>
      <w:pPr>
        <w:pStyle w:val="13"/>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rPr>
          <w:sz w:val="24"/>
        </w:rPr>
      </w:pPr>
      <w:r>
        <w:rPr>
          <w:rFonts w:hint="eastAsia" w:ascii="宋体" w:hAnsi="宋体" w:cs="宋体"/>
          <w:b/>
          <w:bCs/>
          <w:sz w:val="28"/>
          <w:szCs w:val="28"/>
        </w:rPr>
        <w:t xml:space="preserve">         </w:t>
      </w:r>
      <w:r>
        <w:rPr>
          <w:rFonts w:hint="eastAsia" w:ascii="宋体" w:hAnsi="宋体" w:cs="宋体"/>
          <w:sz w:val="24"/>
        </w:rPr>
        <w:t>网上竞价文件第三章要求的其他证明材料。</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rFonts w:hint="eastAsia" w:ascii="宋体" w:hAnsi="宋体" w:cs="宋体"/>
          <w:b/>
          <w:bCs/>
          <w:sz w:val="28"/>
          <w:szCs w:val="28"/>
        </w:rPr>
      </w:pPr>
      <w:r>
        <w:rPr>
          <w:rFonts w:hint="eastAsia" w:ascii="宋体" w:hAnsi="宋体" w:cs="宋体"/>
          <w:b/>
          <w:bCs/>
          <w:sz w:val="28"/>
          <w:szCs w:val="28"/>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keepNext w:val="0"/>
        <w:keepLines w:val="0"/>
        <w:pageBreakBefore w:val="0"/>
        <w:widowControl w:val="0"/>
        <w:kinsoku/>
        <w:wordWrap/>
        <w:overflowPunct/>
        <w:topLinePunct w:val="0"/>
        <w:autoSpaceDE/>
        <w:autoSpaceDN/>
        <w:bidi w:val="0"/>
        <w:adjustRightInd/>
        <w:snapToGrid/>
        <w:textAlignment w:val="auto"/>
        <w:outlineLvl w:val="9"/>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sz w:val="32"/>
          <w:szCs w:val="32"/>
        </w:rPr>
      </w:pPr>
      <w:r>
        <w:rPr>
          <w:sz w:val="32"/>
          <w:szCs w:val="32"/>
        </w:rPr>
        <w:t>1、报价一览表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cs="宋体"/>
          <w:b/>
          <w:bCs/>
          <w:sz w:val="24"/>
        </w:rPr>
      </w:pPr>
      <w:r>
        <w:rPr>
          <w:rFonts w:hint="eastAsia"/>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lang w:eastAsia="zh-CN"/>
              </w:rPr>
              <w:t>预估</w:t>
            </w: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numPr>
          <w:ilvl w:val="0"/>
          <w:numId w:val="4"/>
        </w:numPr>
        <w:jc w:val="center"/>
      </w:pPr>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eastAsia="宋体" w:cs="Times New Roman"/>
          <w:sz w:val="32"/>
          <w:szCs w:val="32"/>
        </w:rPr>
      </w:pPr>
      <w:r>
        <w:rPr>
          <w:rFonts w:hint="eastAsia" w:eastAsia="宋体" w:cs="Times New Roman"/>
          <w:sz w:val="32"/>
          <w:szCs w:val="32"/>
        </w:rPr>
        <w:t>2、货物（服务）</w:t>
      </w:r>
      <w:r>
        <w:rPr>
          <w:rFonts w:eastAsia="宋体" w:cs="Times New Roman"/>
          <w:sz w:val="32"/>
          <w:szCs w:val="32"/>
        </w:rPr>
        <w:t>分项报价表（若有）</w:t>
      </w:r>
    </w:p>
    <w:p>
      <w:pPr>
        <w:pStyle w:val="14"/>
        <w:numPr>
          <w:ilvl w:val="0"/>
          <w:numId w:val="5"/>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4"/>
        <w:numPr>
          <w:ilvl w:val="0"/>
          <w:numId w:val="5"/>
        </w:numPr>
        <w:spacing w:before="75" w:beforeAutospacing="0" w:after="75" w:afterAutospacing="0" w:line="360" w:lineRule="auto"/>
        <w:rPr>
          <w:b/>
          <w:bCs/>
        </w:rPr>
      </w:pPr>
      <w:r>
        <w:rPr>
          <w:rFonts w:hint="eastAsia"/>
          <w:b/>
          <w:bCs/>
        </w:rPr>
        <w:t>成交供应商的分项报价表（若有）随纸质响应文件提供。</w:t>
      </w:r>
    </w:p>
    <w:p>
      <w:pPr>
        <w:pStyle w:val="14"/>
        <w:numPr>
          <w:ilvl w:val="0"/>
          <w:numId w:val="5"/>
        </w:numPr>
        <w:spacing w:before="75" w:beforeAutospacing="0" w:after="75" w:afterAutospacing="0" w:line="360" w:lineRule="auto"/>
        <w:rPr>
          <w:b/>
          <w:bCs/>
        </w:rPr>
      </w:pPr>
      <w:r>
        <w:rPr>
          <w:rFonts w:hint="eastAsia"/>
          <w:b/>
          <w:bCs/>
        </w:rPr>
        <w:t>本表为货物、服务项目适用。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7D0C36B0"/>
    <w:rsid w:val="00091325"/>
    <w:rsid w:val="00101067"/>
    <w:rsid w:val="00357C9D"/>
    <w:rsid w:val="004E616D"/>
    <w:rsid w:val="00572F8A"/>
    <w:rsid w:val="005D48C2"/>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BF386B"/>
    <w:rsid w:val="01D96D99"/>
    <w:rsid w:val="0327352A"/>
    <w:rsid w:val="047C5BE9"/>
    <w:rsid w:val="05191440"/>
    <w:rsid w:val="06053772"/>
    <w:rsid w:val="066C58B5"/>
    <w:rsid w:val="078834F2"/>
    <w:rsid w:val="07CE08D7"/>
    <w:rsid w:val="083B593B"/>
    <w:rsid w:val="0AD0153F"/>
    <w:rsid w:val="0BFC3C47"/>
    <w:rsid w:val="0C524BC1"/>
    <w:rsid w:val="0D1B387B"/>
    <w:rsid w:val="0E402852"/>
    <w:rsid w:val="0EC95AAB"/>
    <w:rsid w:val="0F7478F2"/>
    <w:rsid w:val="0FD76BE7"/>
    <w:rsid w:val="10B07603"/>
    <w:rsid w:val="11375339"/>
    <w:rsid w:val="11E70DE6"/>
    <w:rsid w:val="123725FC"/>
    <w:rsid w:val="12662BF6"/>
    <w:rsid w:val="1291752C"/>
    <w:rsid w:val="13332A68"/>
    <w:rsid w:val="13646B97"/>
    <w:rsid w:val="145044FA"/>
    <w:rsid w:val="145B7487"/>
    <w:rsid w:val="14997544"/>
    <w:rsid w:val="154462C0"/>
    <w:rsid w:val="161F618A"/>
    <w:rsid w:val="16FB6BF7"/>
    <w:rsid w:val="16FB7731"/>
    <w:rsid w:val="18455C50"/>
    <w:rsid w:val="193B33BD"/>
    <w:rsid w:val="19F35491"/>
    <w:rsid w:val="1ABB1CB4"/>
    <w:rsid w:val="1B4C00B3"/>
    <w:rsid w:val="1C756BCA"/>
    <w:rsid w:val="1DB01F38"/>
    <w:rsid w:val="1E6F7BB5"/>
    <w:rsid w:val="1E772572"/>
    <w:rsid w:val="1EA74E0A"/>
    <w:rsid w:val="1FCE03E6"/>
    <w:rsid w:val="20B93497"/>
    <w:rsid w:val="21715CA3"/>
    <w:rsid w:val="229B1419"/>
    <w:rsid w:val="22F664C5"/>
    <w:rsid w:val="27B0758A"/>
    <w:rsid w:val="28ED4932"/>
    <w:rsid w:val="2A872D00"/>
    <w:rsid w:val="2B5B134A"/>
    <w:rsid w:val="2BB92E41"/>
    <w:rsid w:val="2BE37F2A"/>
    <w:rsid w:val="2C970D19"/>
    <w:rsid w:val="2CC3566A"/>
    <w:rsid w:val="2CE8602F"/>
    <w:rsid w:val="2D5C786C"/>
    <w:rsid w:val="2E4E3659"/>
    <w:rsid w:val="2EF601AB"/>
    <w:rsid w:val="2F1D7458"/>
    <w:rsid w:val="2FC736C3"/>
    <w:rsid w:val="2FD76403"/>
    <w:rsid w:val="304401E6"/>
    <w:rsid w:val="31757D4B"/>
    <w:rsid w:val="3206672B"/>
    <w:rsid w:val="322D7E6C"/>
    <w:rsid w:val="32555174"/>
    <w:rsid w:val="32A33816"/>
    <w:rsid w:val="331F493E"/>
    <w:rsid w:val="343958F2"/>
    <w:rsid w:val="34442F4F"/>
    <w:rsid w:val="34765862"/>
    <w:rsid w:val="349630CE"/>
    <w:rsid w:val="34E15227"/>
    <w:rsid w:val="35342044"/>
    <w:rsid w:val="366C445A"/>
    <w:rsid w:val="36FC292C"/>
    <w:rsid w:val="37723E6A"/>
    <w:rsid w:val="38984E8B"/>
    <w:rsid w:val="39672DBD"/>
    <w:rsid w:val="3A06184C"/>
    <w:rsid w:val="3AAC3BE1"/>
    <w:rsid w:val="3B951460"/>
    <w:rsid w:val="3DF73D1B"/>
    <w:rsid w:val="3E083194"/>
    <w:rsid w:val="3FCF05DD"/>
    <w:rsid w:val="4069290A"/>
    <w:rsid w:val="40BA5965"/>
    <w:rsid w:val="40E67721"/>
    <w:rsid w:val="4111484F"/>
    <w:rsid w:val="41207397"/>
    <w:rsid w:val="41EE4ADF"/>
    <w:rsid w:val="43016A94"/>
    <w:rsid w:val="4365451E"/>
    <w:rsid w:val="45B26E32"/>
    <w:rsid w:val="45BB2A9C"/>
    <w:rsid w:val="46E82445"/>
    <w:rsid w:val="47AD2485"/>
    <w:rsid w:val="481579B9"/>
    <w:rsid w:val="48456549"/>
    <w:rsid w:val="48AF1609"/>
    <w:rsid w:val="48F50E49"/>
    <w:rsid w:val="49143FE3"/>
    <w:rsid w:val="4A114033"/>
    <w:rsid w:val="4A192E60"/>
    <w:rsid w:val="4A6B76DF"/>
    <w:rsid w:val="4B6039DC"/>
    <w:rsid w:val="4BE62CA1"/>
    <w:rsid w:val="4BEA4569"/>
    <w:rsid w:val="4C853456"/>
    <w:rsid w:val="4C8D0406"/>
    <w:rsid w:val="4D7366C9"/>
    <w:rsid w:val="4FCA2B8A"/>
    <w:rsid w:val="4FF859C6"/>
    <w:rsid w:val="50785225"/>
    <w:rsid w:val="508E3509"/>
    <w:rsid w:val="512E7607"/>
    <w:rsid w:val="513D6FBD"/>
    <w:rsid w:val="51AD665B"/>
    <w:rsid w:val="537030EF"/>
    <w:rsid w:val="54543237"/>
    <w:rsid w:val="548B2F99"/>
    <w:rsid w:val="551B5793"/>
    <w:rsid w:val="553C6CD1"/>
    <w:rsid w:val="566D18D2"/>
    <w:rsid w:val="569A68B2"/>
    <w:rsid w:val="56E246A2"/>
    <w:rsid w:val="57676FAD"/>
    <w:rsid w:val="579B2BBB"/>
    <w:rsid w:val="59EC25F4"/>
    <w:rsid w:val="59EE13EB"/>
    <w:rsid w:val="5A1F3F20"/>
    <w:rsid w:val="5B985EF4"/>
    <w:rsid w:val="5C2B04AE"/>
    <w:rsid w:val="5C693288"/>
    <w:rsid w:val="5D536F59"/>
    <w:rsid w:val="5DAA1DAA"/>
    <w:rsid w:val="5E5D18E8"/>
    <w:rsid w:val="5E620622"/>
    <w:rsid w:val="5ED04EBE"/>
    <w:rsid w:val="5EFC0A8E"/>
    <w:rsid w:val="5F0C10FD"/>
    <w:rsid w:val="5F3F4774"/>
    <w:rsid w:val="5F571ABE"/>
    <w:rsid w:val="5FAB0540"/>
    <w:rsid w:val="60E372DE"/>
    <w:rsid w:val="614B7E41"/>
    <w:rsid w:val="61C86CA3"/>
    <w:rsid w:val="62653249"/>
    <w:rsid w:val="629618C8"/>
    <w:rsid w:val="62BD432E"/>
    <w:rsid w:val="62F55A50"/>
    <w:rsid w:val="631E2BF8"/>
    <w:rsid w:val="632526FC"/>
    <w:rsid w:val="63AF5A7E"/>
    <w:rsid w:val="63C0699C"/>
    <w:rsid w:val="64C64FF0"/>
    <w:rsid w:val="65EC32D5"/>
    <w:rsid w:val="670A6F1A"/>
    <w:rsid w:val="67AA6857"/>
    <w:rsid w:val="67FF35A1"/>
    <w:rsid w:val="68182006"/>
    <w:rsid w:val="686B6A55"/>
    <w:rsid w:val="693B7832"/>
    <w:rsid w:val="6A0B4BDE"/>
    <w:rsid w:val="6A7027B4"/>
    <w:rsid w:val="6DCD4FE7"/>
    <w:rsid w:val="6E58315D"/>
    <w:rsid w:val="721C436A"/>
    <w:rsid w:val="727B094D"/>
    <w:rsid w:val="7657031B"/>
    <w:rsid w:val="76A03E42"/>
    <w:rsid w:val="77FA1A99"/>
    <w:rsid w:val="7A063F7A"/>
    <w:rsid w:val="7A3E3C94"/>
    <w:rsid w:val="7A4058F2"/>
    <w:rsid w:val="7A794B87"/>
    <w:rsid w:val="7AAB2866"/>
    <w:rsid w:val="7AF92A18"/>
    <w:rsid w:val="7BB5399C"/>
    <w:rsid w:val="7BC60A3F"/>
    <w:rsid w:val="7C225600"/>
    <w:rsid w:val="7C2470D1"/>
    <w:rsid w:val="7CEA684B"/>
    <w:rsid w:val="7D0C36B0"/>
    <w:rsid w:val="7DEA0224"/>
    <w:rsid w:val="7E8E2864"/>
    <w:rsid w:val="7EC438F0"/>
    <w:rsid w:val="7EDC4F06"/>
    <w:rsid w:val="7EFC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paragraph" w:styleId="5">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Body Text Indent"/>
    <w:basedOn w:val="1"/>
    <w:next w:val="1"/>
    <w:autoRedefine/>
    <w:qFormat/>
    <w:uiPriority w:val="0"/>
    <w:pPr>
      <w:spacing w:after="120"/>
      <w:ind w:left="420" w:leftChars="200"/>
    </w:pPr>
  </w:style>
  <w:style w:type="paragraph" w:styleId="8">
    <w:name w:val="annotation text"/>
    <w:basedOn w:val="1"/>
    <w:link w:val="35"/>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kern w:val="0"/>
      <w:sz w:val="20"/>
    </w:r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8"/>
    <w:next w:val="8"/>
    <w:link w:val="36"/>
    <w:autoRedefine/>
    <w:qFormat/>
    <w:uiPriority w:val="0"/>
    <w:rPr>
      <w:b/>
      <w:bCs/>
    </w:rPr>
  </w:style>
  <w:style w:type="paragraph" w:styleId="16">
    <w:name w:val="Body Text First Indent"/>
    <w:basedOn w:val="9"/>
    <w:next w:val="17"/>
    <w:autoRedefine/>
    <w:qFormat/>
    <w:uiPriority w:val="0"/>
    <w:pPr>
      <w:ind w:firstLine="420" w:firstLineChars="100"/>
    </w:pPr>
    <w:rPr>
      <w:rFonts w:ascii="Times New Roman" w:hAnsi="Times New Roman"/>
      <w:szCs w:val="20"/>
    </w:rPr>
  </w:style>
  <w:style w:type="paragraph" w:styleId="17">
    <w:name w:val="Body Text First Indent 2"/>
    <w:basedOn w:val="7"/>
    <w:next w:val="1"/>
    <w:autoRedefine/>
    <w:qFormat/>
    <w:uiPriority w:val="99"/>
    <w:pPr>
      <w:tabs>
        <w:tab w:val="left" w:pos="4606"/>
      </w:tabs>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rFonts w:ascii="Calibri" w:hAnsi="Calibri" w:eastAsia="宋体" w:cs="Times New Roman"/>
      <w:kern w:val="2"/>
      <w:sz w:val="21"/>
      <w:szCs w:val="24"/>
      <w:lang w:val="en-US" w:eastAsia="zh-CN" w:bidi="ar-SA"/>
    </w:rPr>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5">
    <w:name w:val="样式3"/>
    <w:basedOn w:val="10"/>
    <w:autoRedefine/>
    <w:qFormat/>
    <w:uiPriority w:val="0"/>
    <w:pPr>
      <w:spacing w:line="0" w:lineRule="atLeast"/>
      <w:outlineLvl w:val="0"/>
    </w:pPr>
    <w:rPr>
      <w:sz w:val="28"/>
    </w:rPr>
  </w:style>
  <w:style w:type="character" w:customStyle="1" w:styleId="26">
    <w:name w:val="NormalCharacter"/>
    <w:autoRedefine/>
    <w:semiHidden/>
    <w:qFormat/>
    <w:uiPriority w:val="0"/>
    <w:rPr>
      <w:kern w:val="2"/>
      <w:sz w:val="21"/>
      <w:szCs w:val="24"/>
      <w:lang w:val="en-US" w:eastAsia="zh-CN" w:bidi="ar-SA"/>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autoRedefine/>
    <w:qFormat/>
    <w:uiPriority w:val="0"/>
    <w:rPr>
      <w:rFonts w:ascii="Times New Roman" w:hAnsi="Times New Roman" w:eastAsia="宋体" w:cs="Times New Roman"/>
    </w:rPr>
  </w:style>
  <w:style w:type="paragraph" w:customStyle="1" w:styleId="30">
    <w:name w:val="null3"/>
    <w:autoRedefine/>
    <w:qFormat/>
    <w:uiPriority w:val="0"/>
    <w:rPr>
      <w:rFonts w:hint="eastAsia" w:ascii="Calibri" w:hAnsi="Calibri" w:eastAsia="宋体" w:cs="Times New Roman"/>
      <w:lang w:val="en-US" w:eastAsia="zh-CN" w:bidi="ar-SA"/>
    </w:rPr>
  </w:style>
  <w:style w:type="paragraph" w:customStyle="1" w:styleId="31">
    <w:name w:val="首行缩进"/>
    <w:basedOn w:val="1"/>
    <w:autoRedefine/>
    <w:qFormat/>
    <w:uiPriority w:val="0"/>
    <w:pPr>
      <w:spacing w:line="360" w:lineRule="auto"/>
      <w:ind w:firstLine="480" w:firstLineChars="200"/>
    </w:pPr>
    <w:rPr>
      <w:sz w:val="24"/>
      <w:lang w:val="zh-CN"/>
    </w:rPr>
  </w:style>
  <w:style w:type="character" w:customStyle="1" w:styleId="32">
    <w:name w:val="font21"/>
    <w:basedOn w:val="20"/>
    <w:autoRedefine/>
    <w:qFormat/>
    <w:uiPriority w:val="0"/>
    <w:rPr>
      <w:rFonts w:hint="eastAsia" w:ascii="宋体" w:hAnsi="宋体" w:eastAsia="宋体" w:cs="宋体"/>
      <w:color w:val="000000"/>
      <w:sz w:val="32"/>
      <w:szCs w:val="32"/>
      <w:u w:val="none"/>
    </w:rPr>
  </w:style>
  <w:style w:type="paragraph" w:customStyle="1" w:styleId="33">
    <w:name w:val="NormalIndent"/>
    <w:basedOn w:val="1"/>
    <w:next w:val="34"/>
    <w:autoRedefine/>
    <w:qFormat/>
    <w:uiPriority w:val="0"/>
    <w:pPr>
      <w:ind w:firstLine="420"/>
    </w:pPr>
    <w:rPr>
      <w:szCs w:val="20"/>
    </w:rPr>
  </w:style>
  <w:style w:type="paragraph" w:customStyle="1" w:styleId="34">
    <w:name w:val="BodyTextIndent"/>
    <w:basedOn w:val="1"/>
    <w:next w:val="33"/>
    <w:autoRedefine/>
    <w:qFormat/>
    <w:uiPriority w:val="0"/>
    <w:pPr>
      <w:spacing w:after="120"/>
      <w:ind w:left="420" w:leftChars="200"/>
    </w:pPr>
  </w:style>
  <w:style w:type="character" w:customStyle="1" w:styleId="35">
    <w:name w:val="批注文字 Char"/>
    <w:basedOn w:val="20"/>
    <w:link w:val="8"/>
    <w:autoRedefine/>
    <w:qFormat/>
    <w:uiPriority w:val="0"/>
    <w:rPr>
      <w:rFonts w:ascii="Calibri" w:hAnsi="Calibri"/>
      <w:kern w:val="2"/>
      <w:sz w:val="21"/>
      <w:szCs w:val="24"/>
    </w:rPr>
  </w:style>
  <w:style w:type="character" w:customStyle="1" w:styleId="36">
    <w:name w:val="批注主题 Char"/>
    <w:basedOn w:val="35"/>
    <w:link w:val="15"/>
    <w:autoRedefine/>
    <w:qFormat/>
    <w:uiPriority w:val="0"/>
    <w:rPr>
      <w:rFonts w:ascii="Calibri" w:hAnsi="Calibri"/>
      <w:b/>
      <w:bCs/>
      <w:kern w:val="2"/>
      <w:sz w:val="21"/>
      <w:szCs w:val="24"/>
    </w:rPr>
  </w:style>
  <w:style w:type="character" w:customStyle="1" w:styleId="37">
    <w:name w:val="批注框文本 Char"/>
    <w:basedOn w:val="20"/>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16168</Words>
  <Characters>17708</Characters>
  <Lines>129</Lines>
  <Paragraphs>36</Paragraphs>
  <TotalTime>7</TotalTime>
  <ScaleCrop>false</ScaleCrop>
  <LinksUpToDate>false</LinksUpToDate>
  <CharactersWithSpaces>18522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退堂鼓鼓手</cp:lastModifiedBy>
  <dcterms:modified xsi:type="dcterms:W3CDTF">2024-05-15T07:00:11Z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09ECB4B7B04C416899BF8B81590E2943_13</vt:lpwstr>
  </property>
</Properties>
</file>