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color w:val="auto"/>
          <w:sz w:val="52"/>
          <w:szCs w:val="52"/>
          <w:highlight w:val="none"/>
        </w:rPr>
      </w:pPr>
    </w:p>
    <w:p>
      <w:pPr>
        <w:autoSpaceDE w:val="0"/>
        <w:autoSpaceDN w:val="0"/>
        <w:adjustRightInd w:val="0"/>
        <w:spacing w:line="1400" w:lineRule="exact"/>
        <w:jc w:val="center"/>
        <w:rPr>
          <w:rFonts w:ascii="宋体" w:hAnsi="宋体"/>
          <w:b/>
          <w:bCs/>
          <w:color w:val="auto"/>
          <w:sz w:val="96"/>
          <w:szCs w:val="96"/>
          <w:highlight w:val="none"/>
        </w:rPr>
      </w:pPr>
      <w:r>
        <w:rPr>
          <w:rFonts w:hint="eastAsia" w:ascii="宋体" w:hAnsi="宋体"/>
          <w:b/>
          <w:bCs/>
          <w:color w:val="auto"/>
          <w:sz w:val="96"/>
          <w:szCs w:val="96"/>
          <w:highlight w:val="none"/>
        </w:rPr>
        <w:t>福建农林大学</w:t>
      </w:r>
    </w:p>
    <w:p>
      <w:pPr>
        <w:autoSpaceDE w:val="0"/>
        <w:autoSpaceDN w:val="0"/>
        <w:adjustRightInd w:val="0"/>
        <w:spacing w:line="1400" w:lineRule="exact"/>
        <w:jc w:val="center"/>
        <w:rPr>
          <w:rFonts w:ascii="宋体" w:hAnsi="宋体"/>
          <w:b/>
          <w:bCs/>
          <w:color w:val="auto"/>
          <w:sz w:val="96"/>
          <w:szCs w:val="96"/>
          <w:highlight w:val="none"/>
        </w:rPr>
      </w:pPr>
      <w:r>
        <w:rPr>
          <w:rFonts w:hint="eastAsia" w:ascii="宋体" w:hAnsi="宋体"/>
          <w:b/>
          <w:bCs/>
          <w:color w:val="auto"/>
          <w:sz w:val="96"/>
          <w:szCs w:val="96"/>
          <w:highlight w:val="none"/>
        </w:rPr>
        <w:t>网上竞价文件</w:t>
      </w:r>
    </w:p>
    <w:p>
      <w:pPr>
        <w:pStyle w:val="12"/>
        <w:spacing w:line="0" w:lineRule="atLeast"/>
        <w:rPr>
          <w:rFonts w:hAnsi="宋体"/>
          <w:b/>
          <w:color w:val="auto"/>
          <w:sz w:val="32"/>
          <w:highlight w:val="none"/>
        </w:rPr>
      </w:pPr>
    </w:p>
    <w:p>
      <w:pPr>
        <w:pStyle w:val="12"/>
        <w:spacing w:line="0" w:lineRule="atLeast"/>
        <w:jc w:val="center"/>
        <w:rPr>
          <w:rFonts w:hAnsi="宋体"/>
          <w:b/>
          <w:color w:val="auto"/>
          <w:sz w:val="36"/>
          <w:highlight w:val="none"/>
        </w:rPr>
      </w:pPr>
    </w:p>
    <w:p>
      <w:pPr>
        <w:pStyle w:val="12"/>
        <w:spacing w:line="0" w:lineRule="atLeast"/>
        <w:jc w:val="center"/>
        <w:rPr>
          <w:rFonts w:hAnsi="宋体"/>
          <w:b/>
          <w:color w:val="auto"/>
          <w:sz w:val="36"/>
          <w:highlight w:val="none"/>
        </w:rPr>
      </w:pPr>
    </w:p>
    <w:p>
      <w:pPr>
        <w:pStyle w:val="12"/>
        <w:spacing w:line="0" w:lineRule="atLeast"/>
        <w:jc w:val="center"/>
        <w:rPr>
          <w:rFonts w:hAnsi="宋体"/>
          <w:b/>
          <w:color w:val="auto"/>
          <w:sz w:val="36"/>
          <w:highlight w:val="none"/>
        </w:rPr>
      </w:pPr>
    </w:p>
    <w:p>
      <w:pPr>
        <w:pStyle w:val="12"/>
        <w:spacing w:line="400" w:lineRule="exact"/>
        <w:rPr>
          <w:rFonts w:hAnsi="宋体"/>
          <w:b/>
          <w:color w:val="auto"/>
          <w:sz w:val="36"/>
          <w:highlight w:val="none"/>
        </w:rPr>
      </w:pPr>
    </w:p>
    <w:p>
      <w:pPr>
        <w:pStyle w:val="12"/>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项目编号：FJHR-WJ2023056</w:t>
      </w:r>
    </w:p>
    <w:p>
      <w:pPr>
        <w:pStyle w:val="12"/>
        <w:spacing w:line="640" w:lineRule="exact"/>
        <w:ind w:firstLine="1285" w:firstLineChars="400"/>
        <w:rPr>
          <w:rFonts w:hAnsi="宋体"/>
          <w:b/>
          <w:color w:val="auto"/>
          <w:sz w:val="32"/>
          <w:szCs w:val="32"/>
          <w:highlight w:val="none"/>
          <w:u w:val="single"/>
        </w:rPr>
      </w:pPr>
      <w:r>
        <w:rPr>
          <w:rFonts w:hint="eastAsia" w:hAnsi="宋体"/>
          <w:b/>
          <w:color w:val="auto"/>
          <w:sz w:val="32"/>
          <w:szCs w:val="32"/>
          <w:highlight w:val="none"/>
        </w:rPr>
        <w:t>项目名称：资源与环境学院屏风工作位等采购项目</w:t>
      </w:r>
    </w:p>
    <w:p>
      <w:pPr>
        <w:pStyle w:val="12"/>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 xml:space="preserve">采购人：福建农林大学  </w:t>
      </w:r>
    </w:p>
    <w:p>
      <w:pPr>
        <w:spacing w:line="500" w:lineRule="exact"/>
        <w:rPr>
          <w:rFonts w:ascii="宋体" w:hAnsi="宋体"/>
          <w:b/>
          <w:color w:val="auto"/>
          <w:sz w:val="48"/>
          <w:highlight w:val="none"/>
        </w:rPr>
      </w:pPr>
    </w:p>
    <w:p>
      <w:pPr>
        <w:spacing w:line="500" w:lineRule="exact"/>
        <w:jc w:val="right"/>
        <w:rPr>
          <w:rFonts w:ascii="宋体" w:hAnsi="宋体"/>
          <w:b/>
          <w:color w:val="auto"/>
          <w:sz w:val="48"/>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福建省宏瑞招标代理有限公司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二〇二三年七月</w:t>
      </w:r>
    </w:p>
    <w:p>
      <w:pPr>
        <w:spacing w:line="500" w:lineRule="exact"/>
        <w:rPr>
          <w:rFonts w:ascii="宋体" w:hAnsi="宋体"/>
          <w:b/>
          <w:color w:val="auto"/>
          <w:sz w:val="48"/>
          <w:highlight w:val="none"/>
          <w:u w:val="single"/>
        </w:rPr>
      </w:pPr>
    </w:p>
    <w:p>
      <w:pPr>
        <w:snapToGrid w:val="0"/>
        <w:spacing w:line="400" w:lineRule="exact"/>
        <w:rPr>
          <w:rFonts w:ascii="宋体" w:hAnsi="宋体"/>
          <w:color w:val="auto"/>
          <w:highlight w:val="none"/>
        </w:rPr>
      </w:pPr>
      <w:r>
        <w:rPr>
          <w:rFonts w:hint="eastAsia" w:ascii="宋体" w:hAnsi="宋体"/>
          <w:b/>
          <w:color w:val="auto"/>
          <w:highlight w:val="none"/>
        </w:rPr>
        <w:t>地    址：福州市鼓楼区西洪路518号恩特楼A-402/403</w:t>
      </w:r>
    </w:p>
    <w:p>
      <w:pPr>
        <w:snapToGrid w:val="0"/>
        <w:spacing w:line="400" w:lineRule="exact"/>
        <w:rPr>
          <w:rFonts w:ascii="宋体" w:hAnsi="宋体" w:cs="宋体"/>
          <w:b/>
          <w:bCs/>
          <w:color w:val="auto"/>
          <w:szCs w:val="28"/>
          <w:highlight w:val="none"/>
        </w:rPr>
      </w:pPr>
      <w:r>
        <w:rPr>
          <w:rFonts w:hint="eastAsia" w:ascii="宋体" w:hAnsi="宋体"/>
          <w:b/>
          <w:color w:val="auto"/>
          <w:highlight w:val="none"/>
        </w:rPr>
        <w:t>电    话：0591-83701177、17750207868</w:t>
      </w:r>
    </w:p>
    <w:p>
      <w:pPr>
        <w:snapToGrid w:val="0"/>
        <w:spacing w:line="400" w:lineRule="exact"/>
        <w:rPr>
          <w:rFonts w:ascii="宋体" w:hAnsi="宋体"/>
          <w:b/>
          <w:color w:val="auto"/>
          <w:highlight w:val="none"/>
        </w:rPr>
      </w:pPr>
      <w:r>
        <w:rPr>
          <w:rFonts w:hint="eastAsia" w:ascii="宋体" w:hAnsi="宋体"/>
          <w:b/>
          <w:color w:val="auto"/>
          <w:highlight w:val="none"/>
        </w:rPr>
        <w:t>邮    编：350001</w:t>
      </w:r>
    </w:p>
    <w:p>
      <w:pPr>
        <w:snapToGrid w:val="0"/>
        <w:spacing w:line="400" w:lineRule="exact"/>
        <w:rPr>
          <w:rFonts w:ascii="宋体" w:hAnsi="宋体"/>
          <w:b/>
          <w:color w:val="auto"/>
          <w:highlight w:val="none"/>
        </w:rPr>
      </w:pPr>
      <w:r>
        <w:rPr>
          <w:rFonts w:hint="eastAsia" w:ascii="宋体" w:hAnsi="宋体"/>
          <w:b/>
          <w:color w:val="auto"/>
          <w:highlight w:val="none"/>
        </w:rPr>
        <w:t xml:space="preserve">传    真:0591-88028777             </w:t>
      </w:r>
    </w:p>
    <w:p>
      <w:pPr>
        <w:spacing w:line="400" w:lineRule="exact"/>
        <w:rPr>
          <w:rFonts w:ascii="宋体" w:hAnsi="宋体"/>
          <w:b/>
          <w:color w:val="auto"/>
          <w:highlight w:val="none"/>
        </w:rPr>
      </w:pPr>
      <w:r>
        <w:rPr>
          <w:rFonts w:hint="eastAsia" w:ascii="宋体" w:hAnsi="宋体"/>
          <w:b/>
          <w:color w:val="auto"/>
          <w:highlight w:val="none"/>
        </w:rPr>
        <w:t>网    址：http://www.fjhongrui.com</w:t>
      </w:r>
    </w:p>
    <w:p>
      <w:pPr>
        <w:pStyle w:val="4"/>
        <w:rPr>
          <w:rFonts w:ascii="宋体" w:hAnsi="宋体"/>
          <w:color w:val="auto"/>
          <w:highlight w:val="none"/>
        </w:rPr>
      </w:pPr>
    </w:p>
    <w:p>
      <w:pPr>
        <w:jc w:val="left"/>
        <w:rPr>
          <w:rFonts w:ascii="宋体" w:hAnsi="宋体"/>
          <w:color w:val="auto"/>
          <w:highlight w:val="none"/>
        </w:rPr>
      </w:pPr>
      <w:r>
        <w:rPr>
          <w:rFonts w:ascii="宋体" w:hAnsi="宋体"/>
          <w:color w:val="auto"/>
          <w:highlight w:val="none"/>
        </w:rPr>
        <w:br w:type="page"/>
      </w:r>
    </w:p>
    <w:p>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福建省宏瑞招标代理有限公司现邀请合格的供应商对以下采购项目进行网上竞价。</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1、项目编号：FJHR-WJ2023056</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2、项目名称：资源与环境学院屏风工作位等采购项目</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 xml:space="preserve">3、竞价采购标的名称、数量及技术参数要求等详见“竞价采购说明一览表”。 </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4、合同包总数：1</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 xml:space="preserve"> 日17:30:00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31</w:t>
      </w:r>
      <w:r>
        <w:rPr>
          <w:rFonts w:hint="eastAsia" w:ascii="宋体" w:hAnsi="宋体"/>
          <w:color w:val="auto"/>
          <w:sz w:val="24"/>
          <w:szCs w:val="24"/>
          <w:highlight w:val="none"/>
          <w:u w:val="single"/>
        </w:rPr>
        <w:t xml:space="preserve"> 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31</w:t>
      </w:r>
      <w:r>
        <w:rPr>
          <w:rFonts w:hint="eastAsia" w:ascii="宋体" w:hAnsi="宋体"/>
          <w:color w:val="auto"/>
          <w:sz w:val="24"/>
          <w:szCs w:val="24"/>
          <w:highlight w:val="none"/>
          <w:u w:val="single"/>
        </w:rPr>
        <w:t>日11:00:00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color w:val="auto"/>
          <w:sz w:val="24"/>
          <w:highlight w:val="none"/>
        </w:rPr>
        <w:t>http://bid.fjhongrui.com。</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11、有关本项目采购的相关信息（包括网上竞价文件若有修改）福建省宏瑞招标代理有限公司都将在中国政府采购网(http://www.ccgp.gov.cn/)、福建省宏瑞招标代理有限公司(http://www.fjhongrui.com )上公布，请潜在竞价人随时关注相关网站，以免错漏重要信息。</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竞价文件售价0元</w:t>
      </w:r>
      <w:r>
        <w:rPr>
          <w:rFonts w:hint="eastAsia" w:ascii="宋体" w:hAnsi="宋体"/>
          <w:color w:val="auto"/>
          <w:sz w:val="24"/>
          <w:szCs w:val="24"/>
          <w:highlight w:val="none"/>
        </w:rPr>
        <w:t>，在竞价文件获取期限内，各潜在竞价人可直接从采购公告附件中获取。</w:t>
      </w:r>
    </w:p>
    <w:p>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w:t>
      </w:r>
      <w:r>
        <w:rPr>
          <w:rFonts w:hint="eastAsia" w:ascii="宋体" w:hAnsi="宋体"/>
          <w:color w:val="auto"/>
          <w:sz w:val="24"/>
          <w:highlight w:val="none"/>
        </w:rPr>
        <w:t>福建农林大学</w:t>
      </w:r>
    </w:p>
    <w:p>
      <w:pPr>
        <w:spacing w:line="440" w:lineRule="exact"/>
        <w:ind w:firstLine="480" w:firstLineChars="200"/>
        <w:rPr>
          <w:rFonts w:ascii="宋体" w:hAnsi="宋体"/>
          <w:color w:val="auto"/>
          <w:sz w:val="24"/>
          <w:highlight w:val="none"/>
        </w:rPr>
      </w:pPr>
      <w:r>
        <w:rPr>
          <w:rFonts w:hint="eastAsia" w:ascii="宋体" w:hAnsi="宋体"/>
          <w:color w:val="auto"/>
          <w:sz w:val="24"/>
          <w:szCs w:val="24"/>
          <w:highlight w:val="none"/>
        </w:rPr>
        <w:t>地  址：</w:t>
      </w:r>
      <w:r>
        <w:rPr>
          <w:rFonts w:hint="eastAsia" w:ascii="宋体" w:hAnsi="宋体"/>
          <w:color w:val="auto"/>
          <w:sz w:val="24"/>
          <w:highlight w:val="none"/>
        </w:rPr>
        <w:t>福建省福州市仓山区上下店路15号</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联系人：任老师 </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olor w:val="auto"/>
          <w:sz w:val="24"/>
          <w:szCs w:val="24"/>
          <w:highlight w:val="none"/>
        </w:rPr>
        <w:t>0591</w:t>
      </w:r>
      <w:r>
        <w:rPr>
          <w:rFonts w:hint="eastAsia" w:ascii="宋体" w:hAnsi="宋体"/>
          <w:color w:val="auto"/>
          <w:sz w:val="24"/>
          <w:szCs w:val="24"/>
          <w:highlight w:val="none"/>
        </w:rPr>
        <w:t>-</w:t>
      </w:r>
      <w:r>
        <w:rPr>
          <w:rFonts w:ascii="宋体" w:hAnsi="宋体"/>
          <w:color w:val="auto"/>
          <w:sz w:val="24"/>
          <w:szCs w:val="24"/>
          <w:highlight w:val="none"/>
        </w:rPr>
        <w:t>86398509</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olor w:val="auto"/>
          <w:sz w:val="24"/>
          <w:highlight w:val="none"/>
        </w:rPr>
        <w:t>福建省宏瑞招标代理有限公司</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highlight w:val="none"/>
        </w:rPr>
        <w:t>福州市鼓楼区西洪路518号恩特楼A-402/403</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联系人：吴萍</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电话：0591-83701177、17750207868</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olor w:val="auto"/>
          <w:sz w:val="24"/>
          <w:highlight w:val="none"/>
        </w:rPr>
        <w:t>fjhrzb@126.com</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w:t>
      </w:r>
      <w:r>
        <w:rPr>
          <w:rFonts w:hint="eastAsia" w:ascii="宋体" w:hAnsi="宋体"/>
          <w:b/>
          <w:color w:val="auto"/>
          <w:sz w:val="24"/>
          <w:szCs w:val="24"/>
          <w:highlight w:val="none"/>
        </w:rPr>
        <w:t>竞价操作流程等详见本文件第三章</w:t>
      </w:r>
      <w:r>
        <w:rPr>
          <w:rFonts w:hint="eastAsia" w:ascii="宋体" w:hAnsi="宋体"/>
          <w:color w:val="auto"/>
          <w:sz w:val="24"/>
          <w:szCs w:val="24"/>
          <w:highlight w:val="none"/>
        </w:rPr>
        <w:t>。</w:t>
      </w:r>
    </w:p>
    <w:p>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506"/>
        <w:gridCol w:w="1214"/>
        <w:gridCol w:w="915"/>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5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2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参考品牌（若有）</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1-1</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一层教师工作位</w:t>
            </w:r>
          </w:p>
        </w:tc>
        <w:tc>
          <w:tcPr>
            <w:tcW w:w="1214"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rPr>
              <w:t>——</w:t>
            </w:r>
          </w:p>
        </w:tc>
        <w:tc>
          <w:tcPr>
            <w:tcW w:w="915"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eastAsia="zh-CN"/>
              </w:rPr>
              <w:t>张</w:t>
            </w:r>
          </w:p>
        </w:tc>
        <w:tc>
          <w:tcPr>
            <w:tcW w:w="115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2450</w:t>
            </w:r>
          </w:p>
        </w:tc>
        <w:tc>
          <w:tcPr>
            <w:tcW w:w="139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1-2</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一层职员椅</w:t>
            </w:r>
          </w:p>
        </w:tc>
        <w:tc>
          <w:tcPr>
            <w:tcW w:w="1214"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rPr>
              <w:t>——</w:t>
            </w:r>
          </w:p>
        </w:tc>
        <w:tc>
          <w:tcPr>
            <w:tcW w:w="915" w:type="dxa"/>
            <w:tcBorders>
              <w:left w:val="single" w:color="auto" w:sz="4" w:space="0"/>
              <w:right w:val="single" w:color="auto"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5张</w:t>
            </w:r>
          </w:p>
        </w:tc>
        <w:tc>
          <w:tcPr>
            <w:tcW w:w="1155" w:type="dxa"/>
            <w:tcBorders>
              <w:left w:val="single" w:color="auto" w:sz="4" w:space="0"/>
              <w:bottom w:val="single" w:color="auto" w:sz="4" w:space="0"/>
              <w:right w:val="single" w:color="auto" w:sz="4" w:space="0"/>
            </w:tcBorders>
            <w:vAlign w:val="center"/>
          </w:tcPr>
          <w:p>
            <w:pPr>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r>
              <w:rPr>
                <w:rFonts w:ascii="宋体" w:hAnsi="宋体" w:cs="宋体"/>
                <w:color w:val="auto"/>
                <w:kern w:val="0"/>
                <w:sz w:val="24"/>
                <w:szCs w:val="24"/>
                <w:highlight w:val="none"/>
              </w:rPr>
              <w:t>00</w:t>
            </w:r>
          </w:p>
        </w:tc>
        <w:tc>
          <w:tcPr>
            <w:tcW w:w="1394" w:type="dxa"/>
            <w:tcBorders>
              <w:left w:val="single" w:color="auto" w:sz="4" w:space="0"/>
              <w:right w:val="single" w:color="auto"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ascii="宋体" w:hAnsi="宋体" w:cs="宋体"/>
                <w:color w:val="auto"/>
                <w:kern w:val="0"/>
                <w:sz w:val="24"/>
                <w:szCs w:val="24"/>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1-3</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一层会议桌</w:t>
            </w:r>
          </w:p>
          <w:p>
            <w:pPr>
              <w:widowControl/>
              <w:jc w:val="center"/>
              <w:rPr>
                <w:rFonts w:ascii="宋体" w:hAnsi="宋体" w:cs="宋体"/>
                <w:color w:val="auto"/>
                <w:kern w:val="0"/>
                <w:sz w:val="24"/>
                <w:szCs w:val="24"/>
                <w:highlight w:val="none"/>
              </w:rPr>
            </w:pPr>
            <w:r>
              <w:rPr>
                <w:rFonts w:hint="eastAsia"/>
                <w:color w:val="auto"/>
                <w:sz w:val="24"/>
                <w:szCs w:val="24"/>
                <w:highlight w:val="none"/>
              </w:rPr>
              <w:t>（小会议室</w:t>
            </w:r>
            <w:r>
              <w:rPr>
                <w:rFonts w:hint="eastAsia" w:ascii="宋体" w:hAnsi="宋体" w:cs="宋体"/>
                <w:color w:val="auto"/>
                <w:kern w:val="0"/>
                <w:sz w:val="24"/>
                <w:szCs w:val="24"/>
                <w:highlight w:val="none"/>
              </w:rPr>
              <w:t>，二人位</w:t>
            </w:r>
            <w:r>
              <w:rPr>
                <w:rFonts w:hint="eastAsia"/>
                <w:color w:val="auto"/>
                <w:sz w:val="24"/>
                <w:szCs w:val="24"/>
                <w:highlight w:val="none"/>
              </w:rPr>
              <w:t>）</w:t>
            </w:r>
          </w:p>
        </w:tc>
        <w:tc>
          <w:tcPr>
            <w:tcW w:w="1214"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olor w:val="auto"/>
                <w:kern w:val="0"/>
                <w:sz w:val="24"/>
                <w:szCs w:val="24"/>
                <w:highlight w:val="none"/>
              </w:rPr>
            </w:pPr>
            <w:r>
              <w:rPr>
                <w:rFonts w:hint="eastAsia" w:ascii="宋体" w:hAnsi="宋体" w:cs="新宋体"/>
                <w:color w:val="auto"/>
                <w:kern w:val="0"/>
                <w:sz w:val="24"/>
                <w:szCs w:val="24"/>
                <w:highlight w:val="none"/>
              </w:rPr>
              <w:t>——</w:t>
            </w:r>
          </w:p>
        </w:tc>
        <w:tc>
          <w:tcPr>
            <w:tcW w:w="915"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6张</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80</w:t>
            </w:r>
          </w:p>
        </w:tc>
        <w:tc>
          <w:tcPr>
            <w:tcW w:w="1394" w:type="dxa"/>
            <w:tcBorders>
              <w:top w:val="single" w:color="auto" w:sz="4" w:space="0"/>
              <w:left w:val="single" w:color="auto" w:sz="4" w:space="0"/>
              <w:right w:val="single" w:color="auto"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9480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1-4</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一层会议椅</w:t>
            </w:r>
          </w:p>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（小会议室）</w:t>
            </w:r>
          </w:p>
        </w:tc>
        <w:tc>
          <w:tcPr>
            <w:tcW w:w="1214"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olor w:val="auto"/>
                <w:kern w:val="0"/>
                <w:sz w:val="24"/>
                <w:szCs w:val="24"/>
                <w:highlight w:val="none"/>
              </w:rPr>
            </w:pPr>
            <w:r>
              <w:rPr>
                <w:rFonts w:hint="eastAsia" w:ascii="宋体" w:hAnsi="宋体" w:cs="新宋体"/>
                <w:color w:val="auto"/>
                <w:kern w:val="0"/>
                <w:sz w:val="24"/>
                <w:szCs w:val="24"/>
                <w:highlight w:val="none"/>
              </w:rPr>
              <w:t>——</w:t>
            </w:r>
          </w:p>
        </w:tc>
        <w:tc>
          <w:tcPr>
            <w:tcW w:w="915"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12张</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w:t>
            </w:r>
          </w:p>
        </w:tc>
        <w:tc>
          <w:tcPr>
            <w:tcW w:w="139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1-5</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一层会议桌</w:t>
            </w:r>
          </w:p>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(大会议室，三人位)</w:t>
            </w:r>
          </w:p>
        </w:tc>
        <w:tc>
          <w:tcPr>
            <w:tcW w:w="1214"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olor w:val="auto"/>
                <w:kern w:val="0"/>
                <w:sz w:val="24"/>
                <w:szCs w:val="24"/>
                <w:highlight w:val="none"/>
              </w:rPr>
            </w:pPr>
            <w:r>
              <w:rPr>
                <w:rFonts w:hint="eastAsia" w:ascii="宋体" w:hAnsi="宋体" w:cs="新宋体"/>
                <w:color w:val="auto"/>
                <w:kern w:val="0"/>
                <w:sz w:val="24"/>
                <w:szCs w:val="24"/>
                <w:highlight w:val="none"/>
              </w:rPr>
              <w:t>——</w:t>
            </w:r>
          </w:p>
        </w:tc>
        <w:tc>
          <w:tcPr>
            <w:tcW w:w="915"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14张</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00</w:t>
            </w:r>
          </w:p>
        </w:tc>
        <w:tc>
          <w:tcPr>
            <w:tcW w:w="1394" w:type="dxa"/>
            <w:tcBorders>
              <w:top w:val="single" w:color="auto" w:sz="4" w:space="0"/>
              <w:left w:val="single" w:color="auto" w:sz="4" w:space="0"/>
              <w:right w:val="single" w:color="auto"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1-6</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一层会议桌</w:t>
            </w:r>
          </w:p>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(大会议室，二人位)</w:t>
            </w:r>
          </w:p>
        </w:tc>
        <w:tc>
          <w:tcPr>
            <w:tcW w:w="1214"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olor w:val="auto"/>
                <w:kern w:val="0"/>
                <w:sz w:val="24"/>
                <w:szCs w:val="24"/>
                <w:highlight w:val="none"/>
              </w:rPr>
            </w:pPr>
            <w:r>
              <w:rPr>
                <w:rFonts w:hint="eastAsia" w:ascii="宋体" w:hAnsi="宋体" w:cs="新宋体"/>
                <w:color w:val="auto"/>
                <w:kern w:val="0"/>
                <w:sz w:val="24"/>
                <w:szCs w:val="24"/>
                <w:highlight w:val="none"/>
              </w:rPr>
              <w:t>——</w:t>
            </w:r>
          </w:p>
        </w:tc>
        <w:tc>
          <w:tcPr>
            <w:tcW w:w="915"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14张</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00</w:t>
            </w:r>
          </w:p>
        </w:tc>
        <w:tc>
          <w:tcPr>
            <w:tcW w:w="1394" w:type="dxa"/>
            <w:tcBorders>
              <w:top w:val="single" w:color="auto" w:sz="4" w:space="0"/>
              <w:left w:val="single" w:color="auto" w:sz="4" w:space="0"/>
              <w:right w:val="single" w:color="auto"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1-7</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一层会议桌(主席台)</w:t>
            </w:r>
          </w:p>
        </w:tc>
        <w:tc>
          <w:tcPr>
            <w:tcW w:w="1214"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olor w:val="auto"/>
                <w:kern w:val="0"/>
                <w:sz w:val="24"/>
                <w:szCs w:val="24"/>
                <w:highlight w:val="none"/>
              </w:rPr>
            </w:pPr>
            <w:r>
              <w:rPr>
                <w:rFonts w:hint="eastAsia" w:ascii="宋体" w:hAnsi="宋体" w:cs="新宋体"/>
                <w:color w:val="auto"/>
                <w:kern w:val="0"/>
                <w:sz w:val="24"/>
                <w:szCs w:val="24"/>
                <w:highlight w:val="none"/>
              </w:rPr>
              <w:t>——</w:t>
            </w:r>
          </w:p>
        </w:tc>
        <w:tc>
          <w:tcPr>
            <w:tcW w:w="915"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1张</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00</w:t>
            </w:r>
          </w:p>
        </w:tc>
        <w:tc>
          <w:tcPr>
            <w:tcW w:w="1394" w:type="dxa"/>
            <w:tcBorders>
              <w:top w:val="single" w:color="auto" w:sz="4" w:space="0"/>
              <w:left w:val="single" w:color="auto" w:sz="4" w:space="0"/>
              <w:right w:val="single" w:color="auto"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1-8</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一层大会议室</w:t>
            </w:r>
          </w:p>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会议椅</w:t>
            </w:r>
          </w:p>
        </w:tc>
        <w:tc>
          <w:tcPr>
            <w:tcW w:w="1214"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olor w:val="auto"/>
                <w:kern w:val="0"/>
                <w:sz w:val="24"/>
                <w:szCs w:val="24"/>
                <w:highlight w:val="none"/>
              </w:rPr>
            </w:pPr>
            <w:r>
              <w:rPr>
                <w:rFonts w:hint="eastAsia" w:ascii="宋体" w:hAnsi="宋体" w:cs="新宋体"/>
                <w:color w:val="auto"/>
                <w:kern w:val="0"/>
                <w:sz w:val="24"/>
                <w:szCs w:val="24"/>
                <w:highlight w:val="none"/>
              </w:rPr>
              <w:t>——</w:t>
            </w:r>
          </w:p>
        </w:tc>
        <w:tc>
          <w:tcPr>
            <w:tcW w:w="915"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72张</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500</w:t>
            </w:r>
          </w:p>
        </w:tc>
        <w:tc>
          <w:tcPr>
            <w:tcW w:w="1394" w:type="dxa"/>
            <w:tcBorders>
              <w:top w:val="single" w:color="auto" w:sz="4" w:space="0"/>
              <w:left w:val="single" w:color="auto" w:sz="4" w:space="0"/>
              <w:right w:val="single" w:color="auto"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1-9</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二层教师工作位</w:t>
            </w:r>
          </w:p>
        </w:tc>
        <w:tc>
          <w:tcPr>
            <w:tcW w:w="1214"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olor w:val="auto"/>
                <w:kern w:val="0"/>
                <w:sz w:val="24"/>
                <w:szCs w:val="24"/>
                <w:highlight w:val="none"/>
              </w:rPr>
            </w:pPr>
            <w:r>
              <w:rPr>
                <w:rFonts w:hint="eastAsia" w:ascii="宋体" w:hAnsi="宋体" w:cs="新宋体"/>
                <w:color w:val="auto"/>
                <w:kern w:val="0"/>
                <w:sz w:val="24"/>
                <w:szCs w:val="24"/>
                <w:highlight w:val="none"/>
              </w:rPr>
              <w:t>——</w:t>
            </w:r>
          </w:p>
        </w:tc>
        <w:tc>
          <w:tcPr>
            <w:tcW w:w="915"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12张</w:t>
            </w:r>
          </w:p>
        </w:tc>
        <w:tc>
          <w:tcPr>
            <w:tcW w:w="115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24</w:t>
            </w:r>
            <w:r>
              <w:rPr>
                <w:rFonts w:hint="eastAsia" w:ascii="宋体" w:hAnsi="宋体" w:cs="宋体"/>
                <w:color w:val="auto"/>
                <w:kern w:val="0"/>
                <w:sz w:val="24"/>
                <w:szCs w:val="24"/>
                <w:highlight w:val="none"/>
              </w:rPr>
              <w:t>50</w:t>
            </w:r>
          </w:p>
        </w:tc>
        <w:tc>
          <w:tcPr>
            <w:tcW w:w="1394" w:type="dxa"/>
            <w:tcBorders>
              <w:top w:val="single" w:color="auto" w:sz="4" w:space="0"/>
              <w:left w:val="single" w:color="auto" w:sz="4" w:space="0"/>
              <w:right w:val="single" w:color="auto" w:sz="4" w:space="0"/>
            </w:tcBorders>
            <w:vAlign w:val="center"/>
          </w:tcPr>
          <w:p>
            <w:pPr>
              <w:jc w:val="center"/>
              <w:rPr>
                <w:rFonts w:ascii="宋体" w:hAnsi="宋体" w:cs="宋体"/>
                <w:color w:val="auto"/>
                <w:kern w:val="0"/>
                <w:sz w:val="24"/>
                <w:szCs w:val="24"/>
                <w:highlight w:val="none"/>
              </w:rPr>
            </w:pPr>
            <w:r>
              <w:rPr>
                <w:rFonts w:ascii="宋体" w:hAnsi="宋体" w:cs="宋体"/>
                <w:color w:val="auto"/>
                <w:kern w:val="0"/>
                <w:sz w:val="24"/>
                <w:szCs w:val="24"/>
                <w:highlight w:val="none"/>
              </w:rPr>
              <w:t>294</w:t>
            </w:r>
            <w:r>
              <w:rPr>
                <w:rFonts w:hint="eastAsia" w:ascii="宋体" w:hAnsi="宋体" w:cs="宋体"/>
                <w:color w:val="auto"/>
                <w:kern w:val="0"/>
                <w:sz w:val="24"/>
                <w:szCs w:val="24"/>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1-10</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二层职员椅</w:t>
            </w:r>
          </w:p>
        </w:tc>
        <w:tc>
          <w:tcPr>
            <w:tcW w:w="1214"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olor w:val="auto"/>
                <w:kern w:val="0"/>
                <w:sz w:val="24"/>
                <w:szCs w:val="24"/>
                <w:highlight w:val="none"/>
              </w:rPr>
            </w:pPr>
            <w:r>
              <w:rPr>
                <w:rFonts w:hint="eastAsia" w:ascii="宋体" w:hAnsi="宋体" w:cs="新宋体"/>
                <w:color w:val="auto"/>
                <w:kern w:val="0"/>
                <w:sz w:val="24"/>
                <w:szCs w:val="24"/>
                <w:highlight w:val="none"/>
              </w:rPr>
              <w:t>——</w:t>
            </w:r>
          </w:p>
        </w:tc>
        <w:tc>
          <w:tcPr>
            <w:tcW w:w="915" w:type="dxa"/>
            <w:tcBorders>
              <w:left w:val="single" w:color="auto" w:sz="4" w:space="0"/>
              <w:right w:val="single" w:color="auto"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张</w:t>
            </w:r>
          </w:p>
        </w:tc>
        <w:tc>
          <w:tcPr>
            <w:tcW w:w="1155" w:type="dxa"/>
            <w:tcBorders>
              <w:left w:val="single" w:color="auto" w:sz="4" w:space="0"/>
              <w:bottom w:val="single" w:color="auto" w:sz="4" w:space="0"/>
              <w:right w:val="single" w:color="auto" w:sz="4" w:space="0"/>
            </w:tcBorders>
            <w:vAlign w:val="center"/>
          </w:tcPr>
          <w:p>
            <w:pPr>
              <w:jc w:val="center"/>
              <w:textAlignment w:val="center"/>
              <w:rPr>
                <w:rFonts w:ascii="宋体" w:hAnsi="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r>
              <w:rPr>
                <w:rFonts w:ascii="宋体" w:hAnsi="宋体" w:cs="宋体"/>
                <w:color w:val="auto"/>
                <w:kern w:val="0"/>
                <w:sz w:val="24"/>
                <w:szCs w:val="24"/>
                <w:highlight w:val="none"/>
              </w:rPr>
              <w:t>00</w:t>
            </w:r>
          </w:p>
        </w:tc>
        <w:tc>
          <w:tcPr>
            <w:tcW w:w="1394" w:type="dxa"/>
            <w:tcBorders>
              <w:left w:val="single" w:color="auto" w:sz="4" w:space="0"/>
              <w:right w:val="single" w:color="auto"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ascii="宋体" w:hAnsi="宋体" w:cs="宋体"/>
                <w:color w:val="auto"/>
                <w:kern w:val="0"/>
                <w:sz w:val="24"/>
                <w:szCs w:val="24"/>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1-11</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二层资料柜</w:t>
            </w:r>
          </w:p>
        </w:tc>
        <w:tc>
          <w:tcPr>
            <w:tcW w:w="1214"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olor w:val="auto"/>
                <w:kern w:val="0"/>
                <w:sz w:val="24"/>
                <w:szCs w:val="24"/>
                <w:highlight w:val="none"/>
              </w:rPr>
            </w:pPr>
            <w:r>
              <w:rPr>
                <w:rFonts w:hint="eastAsia" w:ascii="宋体" w:hAnsi="宋体" w:cs="新宋体"/>
                <w:color w:val="auto"/>
                <w:kern w:val="0"/>
                <w:sz w:val="24"/>
                <w:szCs w:val="24"/>
                <w:highlight w:val="none"/>
              </w:rPr>
              <w:t>——</w:t>
            </w:r>
          </w:p>
        </w:tc>
        <w:tc>
          <w:tcPr>
            <w:tcW w:w="915"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1组</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38070</w:t>
            </w:r>
          </w:p>
        </w:tc>
        <w:tc>
          <w:tcPr>
            <w:tcW w:w="139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38070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4"/>
                <w:szCs w:val="24"/>
                <w:highlight w:val="none"/>
              </w:rPr>
            </w:pPr>
            <w:r>
              <w:rPr>
                <w:rFonts w:hint="eastAsia" w:ascii="宋体" w:hAnsi="宋体"/>
                <w:color w:val="auto"/>
                <w:kern w:val="0"/>
                <w:sz w:val="24"/>
                <w:szCs w:val="24"/>
                <w:highlight w:val="none"/>
              </w:rPr>
              <w:t>合计(大写)：人民币壹拾捌万元整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4"/>
                <w:szCs w:val="24"/>
                <w:highlight w:val="none"/>
              </w:rPr>
            </w:pPr>
            <w:r>
              <w:rPr>
                <w:rFonts w:hint="eastAsia" w:ascii="宋体" w:hAnsi="宋体"/>
                <w:color w:val="auto"/>
                <w:kern w:val="0"/>
                <w:sz w:val="24"/>
                <w:szCs w:val="24"/>
                <w:highlight w:val="none"/>
              </w:rPr>
              <w:t>¥180000</w:t>
            </w:r>
          </w:p>
        </w:tc>
      </w:tr>
    </w:tbl>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竞价人报价总价必须低于最高限价的3%（不含）以上，报价单价不能超过竞价文件的单价最高限价，否则，视为无效报价</w:t>
      </w:r>
      <w:r>
        <w:rPr>
          <w:rFonts w:hint="eastAsia" w:ascii="宋体" w:hAnsi="宋体"/>
          <w:b/>
          <w:bCs/>
          <w:color w:val="auto"/>
          <w:sz w:val="24"/>
          <w:szCs w:val="24"/>
          <w:highlight w:val="none"/>
        </w:rPr>
        <w:t>。</w:t>
      </w:r>
    </w:p>
    <w:p>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pPr>
        <w:pStyle w:val="43"/>
        <w:spacing w:line="500" w:lineRule="exact"/>
        <w:ind w:firstLine="480" w:firstLineChars="200"/>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须提供2022年度经审计的财务报告或其基本开户银行出具的资信证明；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pPr>
        <w:spacing w:line="44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7、特定资格要求（若有）：无</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9、竞价保证金凭证复印件。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（二）技术和服务要求（图片仅供参考，以文字描述为准）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1、品目号1-1一层教师工作位、品目号1-9</w:t>
      </w:r>
      <w:r>
        <w:rPr>
          <w:rFonts w:hint="eastAsia" w:ascii="宋体" w:hAnsi="宋体" w:cs="宋体"/>
          <w:color w:val="auto"/>
          <w:kern w:val="0"/>
          <w:sz w:val="24"/>
          <w:szCs w:val="24"/>
          <w:highlight w:val="none"/>
        </w:rPr>
        <w:t>二层教师工作位技术要求：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6"/>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1" w:type="dxa"/>
            <w:shd w:val="clear" w:color="auto" w:fill="auto"/>
          </w:tcPr>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规格</w:t>
            </w:r>
            <w:r>
              <w:rPr>
                <w:rFonts w:hint="eastAsia" w:ascii="宋体" w:hAnsi="宋体" w:cs="宋体"/>
                <w:color w:val="auto"/>
                <w:kern w:val="0"/>
                <w:sz w:val="24"/>
                <w:szCs w:val="24"/>
                <w:highlight w:val="none"/>
              </w:rPr>
              <w:t>≥1500*650*750mm，桌面采用≥25mm厚生态板；</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(2)移动柜体、门面板、抽屉面板及背板，基材为无甲醛胶水生产的热塑性树脂胶合板。</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(3)柜体板采用17mm≤厚度≤18mm的基材为无甲醛胶水生产的热塑性树脂胶合板，四周边缘使用厚度≥1 mm硬质塑料(PVC)封边条，采用热熔胶防水封边处理，封边条边缘部分须经修饰处理。抽屉底板及背板采用8mm≤厚度≤10mm基材为无甲醛胶水生产的热塑性树脂胶合板，围板加高。所有用材不得用下脚料制作。热塑性树脂胶合板材质应符合家具中有害物质限量标准达E0级。</w:t>
            </w:r>
          </w:p>
        </w:tc>
        <w:tc>
          <w:tcPr>
            <w:tcW w:w="2061" w:type="dxa"/>
            <w:shd w:val="clear" w:color="auto" w:fill="auto"/>
          </w:tcPr>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drawing>
                <wp:inline distT="0" distB="0" distL="114300" distR="114300">
                  <wp:extent cx="1807210" cy="1209675"/>
                  <wp:effectExtent l="0" t="0" r="2540" b="9525"/>
                  <wp:docPr id="5" name="图片 1" descr="1688045928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688045928446"/>
                          <pic:cNvPicPr>
                            <a:picLocks noChangeAspect="1"/>
                          </pic:cNvPicPr>
                        </pic:nvPicPr>
                        <pic:blipFill>
                          <a:blip r:embed="rId12"/>
                          <a:stretch>
                            <a:fillRect/>
                          </a:stretch>
                        </pic:blipFill>
                        <pic:spPr>
                          <a:xfrm>
                            <a:off x="0" y="0"/>
                            <a:ext cx="1807210" cy="1209675"/>
                          </a:xfrm>
                          <a:prstGeom prst="rect">
                            <a:avLst/>
                          </a:prstGeom>
                          <a:noFill/>
                          <a:ln>
                            <a:noFill/>
                          </a:ln>
                        </pic:spPr>
                      </pic:pic>
                    </a:graphicData>
                  </a:graphic>
                </wp:inline>
              </w:drawing>
            </w:r>
          </w:p>
        </w:tc>
      </w:tr>
    </w:tbl>
    <w:p>
      <w:pPr>
        <w:widowControl/>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（4）铁艺桌腿，承重力强。</w:t>
      </w:r>
    </w:p>
    <w:p>
      <w:pPr>
        <w:widowControl/>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（5）每个工作位配置2个线盒插座及1个网络口。</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olor w:val="auto"/>
          <w:sz w:val="24"/>
          <w:szCs w:val="24"/>
          <w:highlight w:val="none"/>
        </w:rPr>
        <w:t>2、品目号1-2一层</w:t>
      </w:r>
      <w:r>
        <w:rPr>
          <w:rFonts w:hint="eastAsia" w:ascii="宋体" w:hAnsi="宋体" w:cs="宋体"/>
          <w:color w:val="auto"/>
          <w:kern w:val="0"/>
          <w:sz w:val="24"/>
          <w:szCs w:val="24"/>
          <w:highlight w:val="none"/>
        </w:rPr>
        <w:t>职员椅、品目号1-10二层职员椅技术要求：</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4129" w:type="pct"/>
            <w:shd w:val="clear" w:color="auto" w:fill="auto"/>
          </w:tcPr>
          <w:p>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（1）采用全新pp+纤新料。</w:t>
            </w:r>
          </w:p>
          <w:p>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（2）坐垫海绵采用高密度定型绵填充，带坐壳；座板采用</w:t>
            </w:r>
            <w:r>
              <w:rPr>
                <w:rFonts w:hint="eastAsia" w:ascii="宋体" w:hAnsi="宋体" w:cs="宋体"/>
                <w:color w:val="auto"/>
                <w:kern w:val="0"/>
                <w:sz w:val="24"/>
                <w:szCs w:val="24"/>
                <w:highlight w:val="none"/>
              </w:rPr>
              <w:t>≥</w:t>
            </w:r>
            <w:r>
              <w:rPr>
                <w:rFonts w:hint="eastAsia" w:ascii="宋体" w:hAnsi="宋体" w:cs="宋体"/>
                <w:bCs/>
                <w:color w:val="auto"/>
                <w:kern w:val="0"/>
                <w:sz w:val="24"/>
                <w:szCs w:val="24"/>
                <w:highlight w:val="none"/>
              </w:rPr>
              <w:t>1.5mmE1级环保板材质。</w:t>
            </w:r>
          </w:p>
          <w:p>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（3）采用可提升滑动扶手。</w:t>
            </w:r>
          </w:p>
          <w:p>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（4）蝴蝶带尾原位锁定底盘；85拉4电镀汽杆 。</w:t>
            </w:r>
          </w:p>
          <w:p>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（5）R330PP+纤高强度八爪脚；50黑白。</w:t>
            </w:r>
          </w:p>
        </w:tc>
        <w:tc>
          <w:tcPr>
            <w:tcW w:w="870" w:type="pct"/>
            <w:shd w:val="clear" w:color="auto" w:fill="auto"/>
          </w:tcPr>
          <w:p>
            <w:pPr>
              <w:widowControl/>
              <w:spacing w:line="360" w:lineRule="auto"/>
              <w:jc w:val="left"/>
              <w:rPr>
                <w:rFonts w:ascii="宋体" w:hAnsi="宋体" w:cs="宋体"/>
                <w:bCs/>
                <w:color w:val="auto"/>
                <w:kern w:val="0"/>
                <w:sz w:val="24"/>
                <w:szCs w:val="24"/>
                <w:highlight w:val="none"/>
              </w:rPr>
            </w:pPr>
            <w:r>
              <w:rPr>
                <w:rFonts w:cs="Calibri"/>
                <w:color w:val="auto"/>
                <w:sz w:val="24"/>
                <w:szCs w:val="24"/>
                <w:highlight w:val="none"/>
              </w:rPr>
              <w:drawing>
                <wp:inline distT="0" distB="0" distL="114300" distR="114300">
                  <wp:extent cx="843280" cy="1421765"/>
                  <wp:effectExtent l="0" t="0" r="13970" b="698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843280" cy="1421765"/>
                          </a:xfrm>
                          <a:prstGeom prst="rect">
                            <a:avLst/>
                          </a:prstGeom>
                          <a:noFill/>
                          <a:ln>
                            <a:noFill/>
                          </a:ln>
                        </pic:spPr>
                      </pic:pic>
                    </a:graphicData>
                  </a:graphic>
                </wp:inline>
              </w:drawing>
            </w:r>
          </w:p>
        </w:tc>
      </w:tr>
    </w:tbl>
    <w:p>
      <w:pPr>
        <w:widowControl/>
        <w:spacing w:line="360" w:lineRule="auto"/>
        <w:ind w:firstLine="597" w:firstLineChars="249"/>
        <w:jc w:val="left"/>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rPr>
        <w:t>品目号1-3一层</w:t>
      </w:r>
      <w:r>
        <w:rPr>
          <w:rFonts w:hint="eastAsia" w:ascii="宋体" w:hAnsi="宋体" w:cs="宋体"/>
          <w:color w:val="auto"/>
          <w:kern w:val="0"/>
          <w:sz w:val="24"/>
          <w:szCs w:val="24"/>
          <w:highlight w:val="none"/>
        </w:rPr>
        <w:t>会议桌(小会议室，二人位)、品目号1-5一层会议桌(大会议室，三人位)、品目号1-6一层会议桌(大会议室，二人位)、品目号1-7一层会议桌(主席台)技术要求</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8"/>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pct"/>
            <w:shd w:val="clear" w:color="auto" w:fill="auto"/>
          </w:tcPr>
          <w:p>
            <w:pPr>
              <w:widowControl/>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bCs/>
                <w:color w:val="auto"/>
                <w:kern w:val="0"/>
                <w:sz w:val="24"/>
                <w:szCs w:val="24"/>
                <w:highlight w:val="none"/>
              </w:rPr>
              <w:t>三人位规格≥1800*400*750mm，二人位≥1200*400*750mm；主席位规格≥1200*600*750mm；</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钢架采用30*70*1.2mm高频焊低碳钢管，挡板采用国标</w:t>
            </w:r>
            <w:r>
              <w:rPr>
                <w:rFonts w:hint="eastAsia" w:ascii="宋体" w:hAnsi="宋体" w:cs="宋体"/>
                <w:bCs/>
                <w:color w:val="auto"/>
                <w:kern w:val="0"/>
                <w:sz w:val="24"/>
                <w:szCs w:val="24"/>
                <w:highlight w:val="none"/>
              </w:rPr>
              <w:t>≥</w:t>
            </w:r>
            <w:r>
              <w:rPr>
                <w:rFonts w:hint="eastAsia" w:ascii="宋体" w:hAnsi="宋体" w:cs="宋体"/>
                <w:color w:val="auto"/>
                <w:kern w:val="0"/>
                <w:sz w:val="24"/>
                <w:szCs w:val="24"/>
                <w:highlight w:val="none"/>
              </w:rPr>
              <w:t>0.8mm冷轧钢板，底部钢脚采用国标</w:t>
            </w:r>
            <w:r>
              <w:rPr>
                <w:rFonts w:hint="eastAsia" w:ascii="宋体" w:hAnsi="宋体" w:cs="宋体"/>
                <w:bCs/>
                <w:color w:val="auto"/>
                <w:kern w:val="0"/>
                <w:sz w:val="24"/>
                <w:szCs w:val="24"/>
                <w:highlight w:val="none"/>
              </w:rPr>
              <w:t>≥</w:t>
            </w:r>
            <w:r>
              <w:rPr>
                <w:rFonts w:hint="eastAsia" w:ascii="宋体" w:hAnsi="宋体" w:cs="宋体"/>
                <w:color w:val="auto"/>
                <w:kern w:val="0"/>
                <w:sz w:val="24"/>
                <w:szCs w:val="24"/>
                <w:highlight w:val="none"/>
              </w:rPr>
              <w:t>1.5mm冷轧板一次性冲压成型。整体采用环保高压喷砂、除油、除锈，静电喷涂烤漆工艺。桌面采用</w:t>
            </w:r>
            <w:r>
              <w:rPr>
                <w:rFonts w:hint="eastAsia" w:ascii="宋体" w:hAnsi="宋体" w:cs="宋体"/>
                <w:bCs/>
                <w:color w:val="auto"/>
                <w:kern w:val="0"/>
                <w:sz w:val="24"/>
                <w:szCs w:val="24"/>
                <w:highlight w:val="none"/>
              </w:rPr>
              <w:t>≥</w:t>
            </w:r>
            <w:r>
              <w:rPr>
                <w:rFonts w:hint="eastAsia" w:ascii="宋体" w:hAnsi="宋体" w:cs="宋体"/>
                <w:color w:val="auto"/>
                <w:kern w:val="0"/>
                <w:sz w:val="24"/>
                <w:szCs w:val="24"/>
                <w:highlight w:val="none"/>
              </w:rPr>
              <w:t>25mm厚基材为无甲醛胶水生产的热塑性树脂胶合板。</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（3）每个位子配置一个插座。</w:t>
            </w:r>
          </w:p>
        </w:tc>
        <w:tc>
          <w:tcPr>
            <w:tcW w:w="1359" w:type="pct"/>
            <w:shd w:val="clear" w:color="auto" w:fill="auto"/>
          </w:tcPr>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drawing>
                <wp:inline distT="0" distB="0" distL="0" distR="0">
                  <wp:extent cx="1129030" cy="1129030"/>
                  <wp:effectExtent l="0" t="0" r="13970" b="139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25738" cy="1125738"/>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pct"/>
            <w:shd w:val="clear" w:color="auto" w:fill="auto"/>
          </w:tcPr>
          <w:p>
            <w:pPr>
              <w:widowControl/>
              <w:spacing w:line="360" w:lineRule="auto"/>
              <w:ind w:firstLine="480" w:firstLineChars="200"/>
              <w:jc w:val="left"/>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s="宋体"/>
                <w:b/>
                <w:bCs/>
                <w:color w:val="auto"/>
                <w:kern w:val="0"/>
                <w:sz w:val="24"/>
                <w:szCs w:val="24"/>
                <w:highlight w:val="none"/>
              </w:rPr>
              <w:t>、</w:t>
            </w:r>
            <w:r>
              <w:rPr>
                <w:rFonts w:hint="eastAsia" w:ascii="宋体" w:hAnsi="宋体" w:cs="宋体"/>
                <w:color w:val="auto"/>
                <w:kern w:val="0"/>
                <w:sz w:val="24"/>
                <w:szCs w:val="24"/>
                <w:highlight w:val="none"/>
              </w:rPr>
              <w:t>品目号1-4一层小会议室会议椅、品目号1-8大会议室会议椅技术要求：</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（1）可折叠合金椅子，承重量≥3</w:t>
            </w:r>
            <w:r>
              <w:rPr>
                <w:rFonts w:ascii="宋体" w:hAnsi="宋体" w:cs="宋体"/>
                <w:color w:val="auto"/>
                <w:kern w:val="0"/>
                <w:sz w:val="24"/>
                <w:szCs w:val="24"/>
                <w:highlight w:val="none"/>
              </w:rPr>
              <w:t>00</w:t>
            </w:r>
            <w:r>
              <w:rPr>
                <w:rFonts w:hint="eastAsia" w:ascii="宋体" w:hAnsi="宋体" w:cs="宋体"/>
                <w:color w:val="auto"/>
                <w:kern w:val="0"/>
                <w:sz w:val="24"/>
                <w:szCs w:val="24"/>
                <w:highlight w:val="none"/>
              </w:rPr>
              <w:t>公斤。</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采用全新工程</w:t>
            </w:r>
            <w:r>
              <w:rPr>
                <w:rFonts w:hint="eastAsia" w:ascii="宋体" w:hAnsi="宋体" w:cs="宋体"/>
                <w:color w:val="auto"/>
                <w:kern w:val="0"/>
                <w:sz w:val="24"/>
                <w:szCs w:val="24"/>
                <w:highlight w:val="none"/>
              </w:rPr>
              <w:t>PP+纤原料，网布靠背，可活动逍遥；原生定型海绵座垫，可翻起；活动扶手，≥1.8mm厚喷涂金属架、可折叠，固定脚。背和架子连接件均为铝合金。</w:t>
            </w:r>
          </w:p>
          <w:p>
            <w:pPr>
              <w:pStyle w:val="2"/>
              <w:ind w:firstLine="240"/>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）椅子高度≥8</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cm，宽度≥4</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cm，深度≥5</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cm。</w:t>
            </w:r>
          </w:p>
        </w:tc>
        <w:tc>
          <w:tcPr>
            <w:tcW w:w="1359" w:type="pct"/>
            <w:shd w:val="clear" w:color="auto" w:fill="auto"/>
          </w:tcPr>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drawing>
                <wp:inline distT="0" distB="0" distL="114300" distR="114300">
                  <wp:extent cx="1274445" cy="1577340"/>
                  <wp:effectExtent l="0" t="0" r="1905" b="381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5"/>
                          <a:stretch>
                            <a:fillRect/>
                          </a:stretch>
                        </pic:blipFill>
                        <pic:spPr>
                          <a:xfrm>
                            <a:off x="0" y="0"/>
                            <a:ext cx="1284110" cy="1589640"/>
                          </a:xfrm>
                          <a:prstGeom prst="rect">
                            <a:avLst/>
                          </a:prstGeom>
                          <a:noFill/>
                          <a:ln>
                            <a:noFill/>
                          </a:ln>
                        </pic:spPr>
                      </pic:pic>
                    </a:graphicData>
                  </a:graphic>
                </wp:inline>
              </w:drawing>
            </w:r>
          </w:p>
        </w:tc>
      </w:tr>
    </w:tbl>
    <w:p>
      <w:pPr>
        <w:widowControl/>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5、品目号1-11二层资料柜技术要求：</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5"/>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shd w:val="clear" w:color="auto" w:fill="auto"/>
          </w:tcPr>
          <w:p>
            <w:pPr>
              <w:widowControl/>
              <w:spacing w:line="360" w:lineRule="auto"/>
              <w:ind w:firstLine="480" w:firstLineChars="200"/>
              <w:jc w:val="left"/>
              <w:rPr>
                <w:rFonts w:ascii="宋体" w:hAnsi="宋体" w:cs="宋体"/>
                <w:color w:val="auto"/>
                <w:kern w:val="0"/>
                <w:sz w:val="24"/>
                <w:szCs w:val="24"/>
                <w:highlight w:val="none"/>
              </w:rPr>
            </w:pPr>
            <w:bookmarkStart w:id="1" w:name="_GoBack"/>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规格</w:t>
            </w:r>
            <w:r>
              <w:rPr>
                <w:rFonts w:hint="eastAsia" w:ascii="宋体" w:hAnsi="宋体" w:cs="宋体"/>
                <w:color w:val="auto"/>
                <w:kern w:val="0"/>
                <w:sz w:val="24"/>
                <w:szCs w:val="24"/>
                <w:highlight w:val="none"/>
              </w:rPr>
              <w:t>≥800*400*1800mm，全木结构，生态板；</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(2)柜体、门面板、层板及背板，基材为无甲醛胶水生产的热塑性树脂胶合板。</w:t>
            </w:r>
          </w:p>
        </w:tc>
        <w:tc>
          <w:tcPr>
            <w:tcW w:w="944" w:type="pct"/>
            <w:shd w:val="clear" w:color="auto" w:fill="auto"/>
          </w:tcPr>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drawing>
                <wp:inline distT="0" distB="0" distL="114300" distR="114300">
                  <wp:extent cx="742950" cy="869950"/>
                  <wp:effectExtent l="0" t="0" r="0" b="6350"/>
                  <wp:docPr id="1" name="图片 5" descr="说明: C:\Users\ADMINI~1\AppData\Local\Temp\WeChat Files\bd9094eb264625b1a1ce346d2ed61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说明: C:\Users\ADMINI~1\AppData\Local\Temp\WeChat Files\bd9094eb264625b1a1ce346d2ed61b0.png"/>
                          <pic:cNvPicPr>
                            <a:picLocks noChangeAspect="1"/>
                          </pic:cNvPicPr>
                        </pic:nvPicPr>
                        <pic:blipFill>
                          <a:blip r:embed="rId16"/>
                          <a:srcRect t="11932" b="7954"/>
                          <a:stretch>
                            <a:fillRect/>
                          </a:stretch>
                        </pic:blipFill>
                        <pic:spPr>
                          <a:xfrm>
                            <a:off x="0" y="0"/>
                            <a:ext cx="742950" cy="869950"/>
                          </a:xfrm>
                          <a:prstGeom prst="rect">
                            <a:avLst/>
                          </a:prstGeom>
                          <a:noFill/>
                          <a:ln>
                            <a:noFill/>
                          </a:ln>
                        </pic:spPr>
                      </pic:pic>
                    </a:graphicData>
                  </a:graphic>
                </wp:inline>
              </w:drawing>
            </w:r>
          </w:p>
        </w:tc>
      </w:tr>
      <w:bookmarkEnd w:id="1"/>
    </w:tbl>
    <w:p>
      <w:pPr>
        <w:widowControl/>
        <w:numPr>
          <w:ilvl w:val="255"/>
          <w:numId w:val="0"/>
        </w:numP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柜体板、门面板、层板采用17mm≤厚度≤18mm的基材为无甲醛胶水生产的热塑性树脂胶合板。该热塑性树脂胶合板甲醛释放量≤0.5mg/L，在沸水中浸渍至少四小时无剥离现象（供应商须提供检验检测机构出具的带有CMA或CNAS标志的检验报告佐证）。四周边缘使用厚度≥1 mm硬质塑料(PVC)封边条，采用热熔胶防水封边处理，封边条边缘部分须经修饰处理。</w:t>
      </w:r>
    </w:p>
    <w:p>
      <w:pPr>
        <w:widowControl/>
        <w:numPr>
          <w:ilvl w:val="255"/>
          <w:numId w:val="0"/>
        </w:numP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(4)背板采用8mm≤厚度≤10mm的基材为无甲醛胶水生产的热塑性树脂胶合板。围板加高。所有用材不得用下脚料制作。热塑性树脂胶合板材质应符合家具中有害物质限量标准达E0级。</w:t>
      </w:r>
    </w:p>
    <w:p>
      <w:pPr>
        <w:widowControl/>
        <w:numPr>
          <w:ilvl w:val="255"/>
          <w:numId w:val="0"/>
        </w:numP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(5)背板采用的热塑性树脂胶合板甲醛释放量≤0.5mg/L、板材需满足Ⅰ类胶合要求。供应商须提供检验检测机构出具的带有CMA或CNAS标志的检验报告佐证本条技术要求。</w:t>
      </w:r>
    </w:p>
    <w:p>
      <w:pPr>
        <w:widowControl/>
        <w:numPr>
          <w:ilvl w:val="255"/>
          <w:numId w:val="0"/>
        </w:numPr>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柜子总长度以现场尺寸为准（图纸尺寸为6米，误差不超过</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说明：</w:t>
      </w:r>
    </w:p>
    <w:p>
      <w:pPr>
        <w:numPr>
          <w:ilvl w:val="0"/>
          <w:numId w:val="1"/>
        </w:numPr>
        <w:spacing w:line="360" w:lineRule="auto"/>
        <w:ind w:left="0" w:firstLine="481"/>
        <w:rPr>
          <w:rFonts w:ascii="宋体" w:hAnsi="宋体" w:cs="宋体"/>
          <w:b/>
          <w:bCs/>
          <w:color w:val="auto"/>
          <w:sz w:val="24"/>
          <w:szCs w:val="24"/>
          <w:highlight w:val="none"/>
        </w:rPr>
      </w:pPr>
      <w:r>
        <w:rPr>
          <w:rFonts w:hint="eastAsia" w:ascii="宋体" w:hAnsi="宋体" w:cs="宋体"/>
          <w:b/>
          <w:bCs/>
          <w:color w:val="auto"/>
          <w:sz w:val="24"/>
          <w:szCs w:val="24"/>
          <w:highlight w:val="none"/>
        </w:rPr>
        <w:t>本章“（二）技术和服务要求”中的图片仅供参考，若图片与文字表述有不一致的，以文字表述为准。</w:t>
      </w:r>
    </w:p>
    <w:p>
      <w:pPr>
        <w:pStyle w:val="2"/>
        <w:numPr>
          <w:ilvl w:val="0"/>
          <w:numId w:val="1"/>
        </w:numPr>
        <w:spacing w:after="0" w:line="360" w:lineRule="auto"/>
        <w:ind w:left="0" w:firstLine="481" w:firstLineChars="0"/>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供应商须在报价文件中明确列出所投品目号1-1至品目号1-11所有产品的品牌型号，否则报价无效。</w:t>
      </w:r>
    </w:p>
    <w:p>
      <w:pPr>
        <w:pStyle w:val="4"/>
        <w:numPr>
          <w:ilvl w:val="255"/>
          <w:numId w:val="0"/>
        </w:numPr>
        <w:spacing w:after="0"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3、供应商须在“竞价一览表”中明确列出所有投标产品的单价和合同包总价，且所报价格不得高于竞价文件中要求的最高限价（包括单价最高限价和总价最高限价），否则报价无效。</w:t>
      </w:r>
    </w:p>
    <w:p>
      <w:pPr>
        <w:spacing w:line="360" w:lineRule="auto"/>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1、交付地点：下安土壤信息博物馆。</w:t>
      </w:r>
    </w:p>
    <w:p>
      <w:pPr>
        <w:spacing w:line="360" w:lineRule="auto"/>
        <w:ind w:firstLine="481"/>
        <w:rPr>
          <w:rFonts w:ascii="宋体" w:hAnsi="宋体"/>
          <w:color w:val="auto"/>
          <w:sz w:val="24"/>
          <w:highlight w:val="none"/>
        </w:rPr>
      </w:pPr>
      <w:r>
        <w:rPr>
          <w:rFonts w:hint="eastAsia" w:ascii="宋体" w:hAnsi="宋体"/>
          <w:color w:val="auto"/>
          <w:sz w:val="24"/>
          <w:szCs w:val="24"/>
          <w:highlight w:val="none"/>
        </w:rPr>
        <w:t>2、交付时间：成交通知书发出15个日历日内，完成采购合同签订。合同签订之日起15个日历日内供货并安装调试完毕，采购人在规定期限内组织验收。若因采购人原因或不可抗力等因素导致的延迟交付，交付期可顺延。</w:t>
      </w:r>
    </w:p>
    <w:p>
      <w:pPr>
        <w:numPr>
          <w:ilvl w:val="0"/>
          <w:numId w:val="2"/>
        </w:numPr>
        <w:spacing w:line="440" w:lineRule="exact"/>
        <w:ind w:firstLine="481"/>
        <w:rPr>
          <w:rFonts w:ascii="宋体" w:hAnsi="宋体"/>
          <w:color w:val="auto"/>
          <w:highlight w:val="none"/>
        </w:rPr>
      </w:pPr>
      <w:r>
        <w:rPr>
          <w:rFonts w:hint="eastAsia" w:ascii="宋体" w:hAnsi="宋体"/>
          <w:color w:val="auto"/>
          <w:sz w:val="24"/>
          <w:szCs w:val="24"/>
          <w:highlight w:val="none"/>
        </w:rPr>
        <w:t>交付条件：</w:t>
      </w:r>
      <w:r>
        <w:rPr>
          <w:rFonts w:hint="eastAsia" w:ascii="宋体" w:hAnsi="宋体"/>
          <w:color w:val="auto"/>
          <w:sz w:val="24"/>
          <w:highlight w:val="none"/>
        </w:rPr>
        <w:t>验收合格交付采购人使用。</w:t>
      </w:r>
    </w:p>
    <w:p>
      <w:pPr>
        <w:numPr>
          <w:ilvl w:val="0"/>
          <w:numId w:val="2"/>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w:t>
      </w:r>
    </w:p>
    <w:p>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履约保证金百分比：5%。说明：成交供应商在签订采购合同前三日内应向采购人缴纳合同总金额5%的履约保证金，该履约保证金将在项目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5、付款方式：</w:t>
      </w:r>
    </w:p>
    <w:p>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货物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360" w:lineRule="auto"/>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7、货物包装方式、安装</w:t>
      </w:r>
    </w:p>
    <w:p>
      <w:pPr>
        <w:pStyle w:val="4"/>
        <w:spacing w:line="360" w:lineRule="auto"/>
        <w:ind w:left="0" w:leftChars="0" w:firstLine="480"/>
        <w:rPr>
          <w:rFonts w:ascii="宋体" w:hAnsi="宋体"/>
          <w:color w:val="auto"/>
          <w:sz w:val="24"/>
          <w:highlight w:val="none"/>
        </w:rPr>
      </w:pPr>
      <w:r>
        <w:rPr>
          <w:rFonts w:hint="eastAsia" w:ascii="宋体" w:hAnsi="宋体"/>
          <w:color w:val="auto"/>
          <w:sz w:val="24"/>
          <w:highlight w:val="none"/>
        </w:rPr>
        <w:t>7.1包装：材料、货物交货时应按国家有关标准要求进行包装。</w:t>
      </w:r>
    </w:p>
    <w:p>
      <w:pPr>
        <w:pStyle w:val="4"/>
        <w:spacing w:line="360" w:lineRule="auto"/>
        <w:ind w:left="0" w:leftChars="0" w:firstLine="480"/>
        <w:rPr>
          <w:rFonts w:ascii="宋体" w:hAnsi="宋体"/>
          <w:color w:val="auto"/>
          <w:sz w:val="24"/>
          <w:highlight w:val="none"/>
        </w:rPr>
      </w:pPr>
      <w:r>
        <w:rPr>
          <w:rFonts w:hint="eastAsia" w:ascii="宋体" w:hAnsi="宋体"/>
          <w:color w:val="auto"/>
          <w:sz w:val="24"/>
          <w:highlight w:val="none"/>
        </w:rPr>
        <w:t>7.2方式：包装必须与运输方式相适应，包装方式的确定及包装费用均由成交供应商负责；由于不适当的包装而造成材料、货物在运输过程中有任何损坏由成交供应商负责。</w:t>
      </w:r>
    </w:p>
    <w:p>
      <w:pPr>
        <w:pStyle w:val="4"/>
        <w:spacing w:line="360" w:lineRule="auto"/>
        <w:ind w:left="0" w:leftChars="0" w:firstLine="480"/>
        <w:rPr>
          <w:rFonts w:ascii="宋体" w:hAnsi="宋体"/>
          <w:color w:val="auto"/>
          <w:sz w:val="24"/>
          <w:highlight w:val="none"/>
        </w:rPr>
      </w:pPr>
      <w:r>
        <w:rPr>
          <w:rFonts w:hint="eastAsia" w:ascii="宋体" w:hAnsi="宋体"/>
          <w:color w:val="auto"/>
          <w:sz w:val="24"/>
          <w:highlight w:val="none"/>
        </w:rPr>
        <w:t>注：包装应足以承受整个过程中的运输、转运、装卸、储存等，充分考虑到运输途中的各种情况(如暴露于恶劣气候等)和项目所在地的气候特点，以及露天存放的需要。</w:t>
      </w:r>
    </w:p>
    <w:p>
      <w:pPr>
        <w:numPr>
          <w:ilvl w:val="0"/>
          <w:numId w:val="3"/>
        </w:numPr>
        <w:spacing w:line="360" w:lineRule="auto"/>
        <w:ind w:firstLine="481"/>
        <w:rPr>
          <w:rFonts w:ascii="宋体" w:hAnsi="宋体" w:cs="宋体"/>
          <w:color w:val="auto"/>
          <w:sz w:val="24"/>
          <w:szCs w:val="24"/>
          <w:highlight w:val="none"/>
        </w:rPr>
      </w:pPr>
      <w:r>
        <w:rPr>
          <w:rFonts w:hint="eastAsia" w:ascii="宋体" w:hAnsi="宋体" w:cs="宋体"/>
          <w:color w:val="auto"/>
          <w:sz w:val="24"/>
          <w:szCs w:val="24"/>
          <w:highlight w:val="none"/>
        </w:rPr>
        <w:t>售后服务要求</w:t>
      </w:r>
    </w:p>
    <w:p>
      <w:pPr>
        <w:pStyle w:val="18"/>
        <w:spacing w:before="0" w:beforeAutospacing="0" w:after="0" w:afterAutospacing="0" w:line="360" w:lineRule="auto"/>
        <w:ind w:firstLine="480" w:firstLineChars="200"/>
        <w:rPr>
          <w:rStyle w:val="23"/>
          <w:rFonts w:ascii="宋体" w:hAnsi="宋体" w:cs="宋体"/>
          <w:b w:val="0"/>
          <w:color w:val="auto"/>
          <w:highlight w:val="none"/>
        </w:rPr>
      </w:pPr>
      <w:r>
        <w:rPr>
          <w:rFonts w:hint="eastAsia" w:ascii="宋体" w:hAnsi="宋体" w:cs="宋体"/>
          <w:color w:val="auto"/>
          <w:highlight w:val="none"/>
        </w:rPr>
        <w:t>8.1</w:t>
      </w:r>
      <w:r>
        <w:rPr>
          <w:rStyle w:val="23"/>
          <w:rFonts w:hint="eastAsia" w:ascii="宋体" w:hAnsi="宋体" w:cs="宋体"/>
          <w:b w:val="0"/>
          <w:color w:val="auto"/>
          <w:highlight w:val="none"/>
        </w:rPr>
        <w:t>成交供应商负责产品的安装、调试，以及免费对采购人操作人员进行培训，直至有关人员熟练掌握后，交付采购人使用。培训内容应包括项目涉及的所有产品、以及有关产品安装、维护、保养等方面。</w:t>
      </w:r>
    </w:p>
    <w:p>
      <w:pPr>
        <w:pStyle w:val="18"/>
        <w:spacing w:before="0" w:beforeAutospacing="0" w:after="0" w:afterAutospacing="0" w:line="500" w:lineRule="exact"/>
        <w:ind w:firstLine="480" w:firstLineChars="200"/>
        <w:rPr>
          <w:rStyle w:val="23"/>
          <w:rFonts w:ascii="宋体" w:hAnsi="宋体" w:cs="宋体"/>
          <w:b w:val="0"/>
          <w:color w:val="auto"/>
          <w:highlight w:val="none"/>
        </w:rPr>
      </w:pPr>
      <w:r>
        <w:rPr>
          <w:rFonts w:hint="eastAsia" w:ascii="宋体" w:hAnsi="宋体" w:cs="宋体"/>
          <w:color w:val="auto"/>
          <w:highlight w:val="none"/>
        </w:rPr>
        <w:t>8.2质保期：</w:t>
      </w:r>
      <w:r>
        <w:rPr>
          <w:rStyle w:val="23"/>
          <w:rFonts w:hint="eastAsia" w:ascii="宋体" w:hAnsi="宋体" w:cs="宋体"/>
          <w:b w:val="0"/>
          <w:color w:val="auto"/>
          <w:highlight w:val="none"/>
        </w:rPr>
        <w:t>所有货物质保期均为自验收合格之日起三年，质保期内应负责提供免费现场上门保修服务。</w:t>
      </w:r>
      <w:r>
        <w:rPr>
          <w:rFonts w:hint="eastAsia" w:ascii="宋体" w:hAnsi="宋体" w:cs="宋体"/>
          <w:color w:val="auto"/>
          <w:highlight w:val="none"/>
        </w:rPr>
        <w:t>质保期</w:t>
      </w:r>
      <w:r>
        <w:rPr>
          <w:rStyle w:val="23"/>
          <w:rFonts w:hint="eastAsia" w:ascii="宋体" w:hAnsi="宋体" w:cs="宋体"/>
          <w:b w:val="0"/>
          <w:color w:val="auto"/>
          <w:highlight w:val="none"/>
        </w:rPr>
        <w:t>内免费更换非人为损坏配件和免费维修。</w:t>
      </w:r>
    </w:p>
    <w:p>
      <w:pPr>
        <w:pStyle w:val="18"/>
        <w:spacing w:before="0" w:beforeAutospacing="0" w:after="0" w:afterAutospacing="0" w:line="500" w:lineRule="exact"/>
        <w:ind w:firstLine="480" w:firstLineChars="200"/>
        <w:rPr>
          <w:rStyle w:val="23"/>
          <w:rFonts w:ascii="宋体" w:hAnsi="宋体" w:cs="宋体"/>
          <w:b w:val="0"/>
          <w:color w:val="auto"/>
          <w:highlight w:val="none"/>
        </w:rPr>
      </w:pPr>
      <w:r>
        <w:rPr>
          <w:rFonts w:hint="eastAsia" w:ascii="宋体" w:hAnsi="宋体" w:cs="宋体"/>
          <w:color w:val="auto"/>
          <w:highlight w:val="none"/>
        </w:rPr>
        <w:t>8.3</w:t>
      </w:r>
      <w:r>
        <w:rPr>
          <w:rStyle w:val="23"/>
          <w:rFonts w:hint="eastAsia" w:ascii="宋体" w:hAnsi="宋体" w:cs="宋体"/>
          <w:b w:val="0"/>
          <w:color w:val="auto"/>
          <w:highlight w:val="none"/>
        </w:rPr>
        <w:t>在本项目</w:t>
      </w:r>
      <w:r>
        <w:rPr>
          <w:rFonts w:hint="eastAsia" w:ascii="宋体" w:hAnsi="宋体" w:cs="宋体"/>
          <w:color w:val="auto"/>
          <w:highlight w:val="none"/>
        </w:rPr>
        <w:t>质保期</w:t>
      </w:r>
      <w:r>
        <w:rPr>
          <w:rStyle w:val="23"/>
          <w:rFonts w:hint="eastAsia" w:ascii="宋体" w:hAnsi="宋体" w:cs="宋体"/>
          <w:b w:val="0"/>
          <w:color w:val="auto"/>
          <w:highlight w:val="none"/>
        </w:rPr>
        <w:t>内，货物如岀现故障时，成交供应商在接到釆购人故障通知后1小时内响应，需要现场处理的需在6小时内上门服务。若以上情况成交供应商无法按时响应处理,采购人可另行安排人员搬运、安装及维修，由此产生的一切费用由成交供应商支付。质保期外，按成本价提供配件及服务。</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9.1验收应按照竞价文件、成交供应商的报价文件的规定或约定进行，具体如下：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9.1.2对于特殊或需依据检测结果做出结论的项目应邀请国家认可的质量检测机构或部门参与验收。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9.1.3验收结果经采购人与成交供应商双方确认后，双方代表必须按《福建农林大学物资设备验收单》上规定的项目对照合同填好验收结果并签名，采购人最终用户加盖单位公章后，提交相关主管部门备案。</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9.1.4如货物在质量保证期内被证明存在缺陷，包括潜在的缺陷或使用不合适的材料，采购人有权凭有关证明文件向成交供应商提出索赔。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9.1.5异议期：货物验收后10个工作日内采购人对货物有异议的，成交供应商应在3个工作日内负责解决，否则视为成交供应商根本违约。</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10.2成交供应商所交货物不符合合同要求的，采购人有权拒收并没收其履约保证金，且涉及到的部分合同条款采购人有权终止履行。</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10.5因成交供应商违约对采购人造成损失的赔偿金及合同约定的违约金均可由采购人从未支付的合同款或履约保证金中扣除。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10.6 因采购人原因导致成交供应商未能按合同约定履行的，成交供应商可免于承担违约责任。</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           。</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highlight w:val="none"/>
        </w:rPr>
        <w:t>福建省宏瑞招标代理有限公司</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highlight w:val="none"/>
        </w:rPr>
        <w:t>中国建设银行股份有限公司福州市杨桥支行</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w:t>
      </w:r>
      <w:r>
        <w:rPr>
          <w:rFonts w:hint="eastAsia" w:ascii="宋体" w:hAnsi="宋体"/>
          <w:color w:val="auto"/>
          <w:sz w:val="24"/>
          <w:szCs w:val="24"/>
          <w:highlight w:val="none"/>
        </w:rPr>
        <w:t xml:space="preserve">   </w:t>
      </w:r>
      <w:r>
        <w:rPr>
          <w:rFonts w:ascii="宋体" w:hAnsi="宋体"/>
          <w:color w:val="auto"/>
          <w:sz w:val="24"/>
          <w:szCs w:val="24"/>
          <w:highlight w:val="none"/>
        </w:rPr>
        <w:t>号：</w:t>
      </w:r>
      <w:r>
        <w:rPr>
          <w:rFonts w:hint="eastAsia" w:ascii="宋体" w:hAnsi="宋体" w:cs="宋体"/>
          <w:color w:val="auto"/>
          <w:sz w:val="24"/>
          <w:highlight w:val="none"/>
        </w:rPr>
        <w:t>35001877607052505105</w:t>
      </w:r>
      <w:r>
        <w:rPr>
          <w:rFonts w:ascii="宋体" w:hAnsi="宋体"/>
          <w:color w:val="auto"/>
          <w:sz w:val="24"/>
          <w:szCs w:val="24"/>
          <w:highlight w:val="none"/>
        </w:rPr>
        <w:t xml:space="preserve"> </w:t>
      </w:r>
    </w:p>
    <w:p>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pPr>
        <w:pStyle w:val="10"/>
        <w:rPr>
          <w:color w:val="auto"/>
          <w:sz w:val="24"/>
          <w:szCs w:val="24"/>
          <w:highlight w:val="none"/>
        </w:rPr>
      </w:pPr>
      <w:r>
        <w:rPr>
          <w:rFonts w:hint="eastAsia" w:ascii="宋体" w:hAnsi="宋体" w:cs="宋体"/>
          <w:bCs/>
          <w:color w:val="auto"/>
          <w:kern w:val="0"/>
          <w:sz w:val="24"/>
          <w:szCs w:val="24"/>
          <w:highlight w:val="none"/>
        </w:rPr>
        <w:t>详见</w:t>
      </w:r>
      <w:r>
        <w:rPr>
          <w:rFonts w:hint="eastAsia" w:ascii="宋体" w:hAnsi="宋体" w:cs="宋体"/>
          <w:color w:val="auto"/>
          <w:sz w:val="24"/>
          <w:szCs w:val="24"/>
          <w:highlight w:val="none"/>
        </w:rPr>
        <w:t>网上竞价文件第二章(资格标准)。</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（1）潜在竞价人须于竞价须知中规定的报名时间内在福建省宏瑞招标代理有限公司网站竞价平台（http://bid.fjhongrui.com）办理注册，通过审核后办理报名登记，按本竞价文件“第五章 报价文件格式”制作合格的报价文件，并在报名截止时间前将经签名、盖章、扫描后的报价文件上传至竞价平台，否则将失去竞价资格。特别注意：“</w:t>
      </w:r>
      <w:r>
        <w:rPr>
          <w:rFonts w:hint="eastAsia" w:ascii="宋体" w:hAnsi="宋体"/>
          <w:b/>
          <w:color w:val="auto"/>
          <w:sz w:val="24"/>
          <w:szCs w:val="24"/>
          <w:highlight w:val="none"/>
        </w:rPr>
        <w:t>竞价一览表</w:t>
      </w:r>
      <w:r>
        <w:rPr>
          <w:rFonts w:hint="eastAsia" w:ascii="宋体" w:hAnsi="宋体" w:cs="宋体"/>
          <w:b/>
          <w:color w:val="auto"/>
          <w:kern w:val="0"/>
          <w:sz w:val="24"/>
          <w:szCs w:val="24"/>
          <w:highlight w:val="none"/>
        </w:rPr>
        <w:t>”在</w:t>
      </w:r>
      <w:r>
        <w:rPr>
          <w:rFonts w:hint="eastAsia" w:ascii="宋体" w:hAnsi="宋体"/>
          <w:b/>
          <w:color w:val="auto"/>
          <w:sz w:val="24"/>
          <w:highlight w:val="none"/>
          <w:u w:val="single"/>
        </w:rPr>
        <w:t>竞价平台竞价过程中提供，报名时不能提供此表。</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（2）报名网址：福建省宏瑞招标代理有限公司网站竞价平台（http://bid.fjhongrui.com）。</w:t>
      </w:r>
    </w:p>
    <w:p>
      <w:pPr>
        <w:spacing w:line="460" w:lineRule="exact"/>
        <w:rPr>
          <w:rFonts w:ascii="宋体" w:hAnsi="宋体" w:cs="宋体"/>
          <w:color w:val="auto"/>
          <w:sz w:val="24"/>
          <w:highlight w:val="none"/>
        </w:rPr>
      </w:pPr>
      <w:r>
        <w:rPr>
          <w:rFonts w:hint="eastAsia" w:ascii="宋体" w:hAnsi="宋体"/>
          <w:color w:val="auto"/>
          <w:sz w:val="24"/>
          <w:highlight w:val="none"/>
        </w:rPr>
        <w:t>（3）</w:t>
      </w:r>
      <w:r>
        <w:rPr>
          <w:rFonts w:hint="eastAsia" w:ascii="宋体" w:hAnsi="宋体" w:cs="宋体"/>
          <w:color w:val="auto"/>
          <w:sz w:val="24"/>
          <w:highlight w:val="none"/>
        </w:rPr>
        <w:t>竞价保证金：竞价保证金1000元人民币，竞价保证金须在竞价截止时间前一个工作日17：30前以对公形式转账到代理机构指定账户。代理机构将以开户银行提供的竞价保证金到帐时间为依据进行确认，账户信息详见下表。</w:t>
      </w:r>
    </w:p>
    <w:tbl>
      <w:tblPr>
        <w:tblStyle w:val="20"/>
        <w:tblW w:w="0" w:type="auto"/>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20"/>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restart"/>
            <w:vAlign w:val="center"/>
          </w:tcPr>
          <w:p>
            <w:pPr>
              <w:spacing w:line="460" w:lineRule="exact"/>
              <w:rPr>
                <w:rFonts w:ascii="宋体" w:hAnsi="宋体" w:cs="宋体"/>
                <w:color w:val="auto"/>
                <w:sz w:val="24"/>
                <w:highlight w:val="none"/>
              </w:rPr>
            </w:pPr>
            <w:r>
              <w:rPr>
                <w:rFonts w:hint="eastAsia" w:ascii="宋体" w:hAnsi="宋体"/>
                <w:color w:val="auto"/>
                <w:sz w:val="24"/>
                <w:highlight w:val="none"/>
              </w:rPr>
              <w:t>保证金缴交银行帐号</w:t>
            </w:r>
          </w:p>
        </w:tc>
        <w:tc>
          <w:tcPr>
            <w:tcW w:w="6515" w:type="dxa"/>
            <w:vAlign w:val="center"/>
          </w:tcPr>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名：福建省宏瑞招标代理有限公司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continue"/>
            <w:vAlign w:val="center"/>
          </w:tcPr>
          <w:p>
            <w:pPr>
              <w:spacing w:line="460" w:lineRule="exact"/>
              <w:ind w:firstLine="480" w:firstLineChars="200"/>
              <w:rPr>
                <w:rFonts w:ascii="宋体" w:hAnsi="宋体" w:cs="宋体"/>
                <w:color w:val="auto"/>
                <w:sz w:val="24"/>
                <w:highlight w:val="none"/>
              </w:rPr>
            </w:pPr>
          </w:p>
        </w:tc>
        <w:tc>
          <w:tcPr>
            <w:tcW w:w="6515" w:type="dxa"/>
            <w:vAlign w:val="center"/>
          </w:tcPr>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 户 行：中国建设银行股份有限公司福州市杨桥支行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continue"/>
            <w:vAlign w:val="center"/>
          </w:tcPr>
          <w:p>
            <w:pPr>
              <w:spacing w:line="460" w:lineRule="exact"/>
              <w:ind w:firstLine="480" w:firstLineChars="200"/>
              <w:rPr>
                <w:rFonts w:ascii="宋体" w:hAnsi="宋体" w:cs="宋体"/>
                <w:color w:val="auto"/>
                <w:sz w:val="24"/>
                <w:highlight w:val="none"/>
              </w:rPr>
            </w:pPr>
          </w:p>
        </w:tc>
        <w:tc>
          <w:tcPr>
            <w:tcW w:w="6515" w:type="dxa"/>
            <w:vAlign w:val="center"/>
          </w:tcPr>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号：35001877607052505105</w:t>
            </w:r>
          </w:p>
        </w:tc>
      </w:tr>
    </w:tbl>
    <w:p>
      <w:pPr>
        <w:widowControl/>
        <w:shd w:val="clear" w:color="auto" w:fill="FFFFFF"/>
        <w:spacing w:line="460" w:lineRule="exact"/>
        <w:ind w:firstLine="482" w:firstLineChars="200"/>
        <w:jc w:val="left"/>
        <w:rPr>
          <w:rFonts w:ascii="宋体" w:hAnsi="宋体"/>
          <w:color w:val="auto"/>
          <w:sz w:val="24"/>
          <w:highlight w:val="none"/>
        </w:rPr>
      </w:pPr>
      <w:r>
        <w:rPr>
          <w:rStyle w:val="51"/>
          <w:rFonts w:hint="eastAsia" w:ascii="宋体" w:hAnsi="宋体" w:cs="宋体"/>
          <w:b/>
          <w:bCs/>
          <w:color w:val="auto"/>
          <w:sz w:val="24"/>
          <w:highlight w:val="none"/>
          <w:u w:val="double"/>
        </w:rPr>
        <w:t>注：未在报名时间内完成上述（1）点中规定的注册、报名、上传合格的报价文件或未按（3）点规定提交竞价保证金的，其报名审核不通过，即不具备竞价资格</w:t>
      </w:r>
      <w:r>
        <w:rPr>
          <w:rStyle w:val="51"/>
          <w:rFonts w:ascii="宋体" w:hAnsi="宋体" w:cs="宋体"/>
          <w:b/>
          <w:bCs/>
          <w:color w:val="auto"/>
          <w:sz w:val="24"/>
          <w:highlight w:val="none"/>
          <w:u w:val="double"/>
        </w:rPr>
        <w:t>。</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（4）报名审核通过后方可参与本项目竞价。</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（5）竞价人须完全响应竞价文件的所有要求，若有要求提交相关证明材料的，则须按规定提交。</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（6）竞价人需提供网上竞价文件中其他规定的证明材料。</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Style w:val="51"/>
          <w:rFonts w:ascii="宋体" w:hAnsi="宋体"/>
          <w:color w:val="auto"/>
          <w:kern w:val="0"/>
          <w:sz w:val="24"/>
          <w:highlight w:val="none"/>
        </w:rPr>
        <w:t>竞价规则说明</w:t>
      </w:r>
    </w:p>
    <w:p>
      <w:pPr>
        <w:widowControl/>
        <w:spacing w:line="460" w:lineRule="exact"/>
        <w:ind w:firstLine="480" w:firstLineChars="200"/>
        <w:jc w:val="left"/>
        <w:textAlignment w:val="baseline"/>
        <w:rPr>
          <w:rStyle w:val="51"/>
          <w:rFonts w:ascii="宋体" w:hAnsi="宋体"/>
          <w:color w:val="auto"/>
          <w:kern w:val="0"/>
          <w:sz w:val="24"/>
          <w:highlight w:val="none"/>
        </w:rPr>
      </w:pPr>
      <w:r>
        <w:rPr>
          <w:rFonts w:hint="eastAsia" w:ascii="宋体" w:hAnsi="宋体"/>
          <w:color w:val="auto"/>
          <w:sz w:val="24"/>
          <w:highlight w:val="none"/>
        </w:rPr>
        <w:t>（1）本项目须有2家(含2家)以上合格的竞价人参与竞价，</w:t>
      </w:r>
      <w:r>
        <w:rPr>
          <w:rFonts w:hint="eastAsia" w:ascii="宋体" w:hAnsi="宋体" w:cs="宋体"/>
          <w:color w:val="auto"/>
          <w:kern w:val="0"/>
          <w:sz w:val="24"/>
          <w:highlight w:val="none"/>
        </w:rPr>
        <w:t>否则网上竞价无效。</w:t>
      </w:r>
      <w:r>
        <w:rPr>
          <w:rStyle w:val="51"/>
          <w:rFonts w:ascii="宋体" w:hAnsi="宋体"/>
          <w:color w:val="auto"/>
          <w:kern w:val="0"/>
          <w:sz w:val="24"/>
          <w:highlight w:val="none"/>
        </w:rPr>
        <w:t>网上竞价的报价时限为竞价</w:t>
      </w:r>
      <w:r>
        <w:rPr>
          <w:rStyle w:val="51"/>
          <w:rFonts w:hint="eastAsia" w:ascii="宋体" w:hAnsi="宋体"/>
          <w:color w:val="auto"/>
          <w:kern w:val="0"/>
          <w:sz w:val="24"/>
          <w:highlight w:val="none"/>
        </w:rPr>
        <w:t>开始</w:t>
      </w:r>
      <w:r>
        <w:rPr>
          <w:rStyle w:val="51"/>
          <w:rFonts w:ascii="宋体" w:hAnsi="宋体"/>
          <w:color w:val="auto"/>
          <w:kern w:val="0"/>
          <w:sz w:val="24"/>
          <w:highlight w:val="none"/>
        </w:rPr>
        <w:t>时间</w:t>
      </w:r>
      <w:r>
        <w:rPr>
          <w:rStyle w:val="51"/>
          <w:rFonts w:hint="eastAsia" w:ascii="宋体" w:hAnsi="宋体"/>
          <w:color w:val="auto"/>
          <w:kern w:val="0"/>
          <w:sz w:val="24"/>
          <w:highlight w:val="none"/>
        </w:rPr>
        <w:t>起至竞价截止时间止</w:t>
      </w:r>
      <w:r>
        <w:rPr>
          <w:rStyle w:val="51"/>
          <w:rFonts w:ascii="宋体" w:hAnsi="宋体"/>
          <w:color w:val="auto"/>
          <w:kern w:val="0"/>
          <w:sz w:val="24"/>
          <w:highlight w:val="none"/>
        </w:rPr>
        <w:t>，在</w:t>
      </w:r>
      <w:r>
        <w:rPr>
          <w:rStyle w:val="51"/>
          <w:rFonts w:hint="eastAsia" w:ascii="宋体" w:hAnsi="宋体"/>
          <w:color w:val="auto"/>
          <w:kern w:val="0"/>
          <w:sz w:val="24"/>
          <w:highlight w:val="none"/>
        </w:rPr>
        <w:t>竞价</w:t>
      </w:r>
      <w:r>
        <w:rPr>
          <w:rStyle w:val="51"/>
          <w:rFonts w:ascii="宋体" w:hAnsi="宋体"/>
          <w:color w:val="auto"/>
          <w:kern w:val="0"/>
          <w:sz w:val="24"/>
          <w:highlight w:val="none"/>
        </w:rPr>
        <w:t>截止时间前，报名且通过审核的竞价人可通过宏瑞招标竞价平台多次参与竞价（不限报价次数，在规定时间内提交报价均可）。</w:t>
      </w:r>
    </w:p>
    <w:p>
      <w:pPr>
        <w:widowControl/>
        <w:spacing w:line="460" w:lineRule="exact"/>
        <w:ind w:firstLine="480" w:firstLineChars="200"/>
        <w:jc w:val="left"/>
        <w:textAlignment w:val="baseline"/>
        <w:rPr>
          <w:rStyle w:val="51"/>
          <w:rFonts w:ascii="宋体" w:hAnsi="宋体"/>
          <w:color w:val="auto"/>
          <w:kern w:val="0"/>
          <w:sz w:val="24"/>
          <w:highlight w:val="none"/>
        </w:rPr>
      </w:pPr>
      <w:r>
        <w:rPr>
          <w:rFonts w:hint="eastAsia" w:ascii="宋体" w:hAnsi="宋体"/>
          <w:color w:val="auto"/>
          <w:sz w:val="24"/>
          <w:highlight w:val="none"/>
        </w:rPr>
        <w:t>（2）</w:t>
      </w:r>
      <w:r>
        <w:rPr>
          <w:rStyle w:val="51"/>
          <w:rFonts w:ascii="宋体" w:hAnsi="宋体"/>
          <w:b/>
          <w:bCs/>
          <w:color w:val="auto"/>
          <w:kern w:val="0"/>
          <w:sz w:val="24"/>
          <w:highlight w:val="none"/>
          <w:u w:val="double"/>
        </w:rPr>
        <w:t>竞价人首次提交的报价须</w:t>
      </w:r>
      <w:r>
        <w:rPr>
          <w:rStyle w:val="51"/>
          <w:rFonts w:hint="eastAsia" w:ascii="宋体" w:hAnsi="宋体"/>
          <w:b/>
          <w:bCs/>
          <w:color w:val="auto"/>
          <w:kern w:val="0"/>
          <w:sz w:val="24"/>
          <w:highlight w:val="none"/>
          <w:u w:val="double"/>
        </w:rPr>
        <w:t>低于</w:t>
      </w:r>
      <w:r>
        <w:rPr>
          <w:rStyle w:val="51"/>
          <w:rFonts w:ascii="宋体" w:hAnsi="宋体"/>
          <w:b/>
          <w:bCs/>
          <w:color w:val="auto"/>
          <w:kern w:val="0"/>
          <w:sz w:val="24"/>
          <w:highlight w:val="none"/>
          <w:u w:val="double"/>
        </w:rPr>
        <w:t>本项目最高限价</w:t>
      </w:r>
      <w:r>
        <w:rPr>
          <w:rStyle w:val="51"/>
          <w:rFonts w:hint="eastAsia" w:ascii="宋体" w:hAnsi="宋体"/>
          <w:b/>
          <w:bCs/>
          <w:color w:val="auto"/>
          <w:kern w:val="0"/>
          <w:sz w:val="24"/>
          <w:highlight w:val="none"/>
          <w:u w:val="double"/>
        </w:rPr>
        <w:t>的3%（不含）以上</w:t>
      </w:r>
      <w:r>
        <w:rPr>
          <w:rStyle w:val="51"/>
          <w:rFonts w:ascii="宋体" w:hAnsi="宋体"/>
          <w:color w:val="auto"/>
          <w:kern w:val="0"/>
          <w:sz w:val="24"/>
          <w:highlight w:val="none"/>
        </w:rPr>
        <w:t>，否则</w:t>
      </w:r>
      <w:r>
        <w:rPr>
          <w:rStyle w:val="51"/>
          <w:rFonts w:ascii="宋体" w:hAnsi="宋体" w:cs="宋体"/>
          <w:b/>
          <w:bCs/>
          <w:color w:val="auto"/>
          <w:kern w:val="0"/>
          <w:sz w:val="24"/>
          <w:highlight w:val="none"/>
        </w:rPr>
        <w:t>视为无效报价</w:t>
      </w:r>
      <w:r>
        <w:rPr>
          <w:rStyle w:val="51"/>
          <w:rFonts w:ascii="宋体" w:hAnsi="宋体"/>
          <w:color w:val="auto"/>
          <w:kern w:val="0"/>
          <w:sz w:val="24"/>
          <w:highlight w:val="none"/>
        </w:rPr>
        <w:t>。在报价时限内，</w:t>
      </w:r>
      <w:r>
        <w:rPr>
          <w:rStyle w:val="51"/>
          <w:rFonts w:hint="eastAsia" w:ascii="宋体" w:hAnsi="宋体"/>
          <w:color w:val="auto"/>
          <w:kern w:val="0"/>
          <w:sz w:val="24"/>
          <w:highlight w:val="none"/>
        </w:rPr>
        <w:t>竞价人</w:t>
      </w:r>
      <w:r>
        <w:rPr>
          <w:rStyle w:val="51"/>
          <w:rFonts w:ascii="宋体" w:hAnsi="宋体"/>
          <w:color w:val="auto"/>
          <w:kern w:val="0"/>
          <w:sz w:val="24"/>
          <w:highlight w:val="none"/>
        </w:rPr>
        <w:t>多次报价的</w:t>
      </w:r>
      <w:r>
        <w:rPr>
          <w:rStyle w:val="51"/>
          <w:rFonts w:hint="eastAsia" w:ascii="宋体" w:hAnsi="宋体"/>
          <w:color w:val="auto"/>
          <w:kern w:val="0"/>
          <w:sz w:val="24"/>
          <w:highlight w:val="none"/>
        </w:rPr>
        <w:t>情况下</w:t>
      </w:r>
      <w:r>
        <w:rPr>
          <w:rStyle w:val="51"/>
          <w:rFonts w:ascii="宋体" w:hAnsi="宋体"/>
          <w:color w:val="auto"/>
          <w:kern w:val="0"/>
          <w:sz w:val="24"/>
          <w:highlight w:val="none"/>
        </w:rPr>
        <w:t>，报价金额必须小于自己上一次的报价金额，在报价时限内竞价人提交的最后一次报价作为该竞价人的最后报价。</w:t>
      </w:r>
    </w:p>
    <w:p>
      <w:pPr>
        <w:widowControl/>
        <w:spacing w:line="460" w:lineRule="exact"/>
        <w:ind w:firstLine="480" w:firstLineChars="200"/>
        <w:jc w:val="left"/>
        <w:textAlignment w:val="baseline"/>
        <w:rPr>
          <w:rStyle w:val="51"/>
          <w:rFonts w:ascii="宋体" w:hAnsi="宋体"/>
          <w:color w:val="auto"/>
          <w:kern w:val="0"/>
          <w:sz w:val="24"/>
          <w:highlight w:val="none"/>
        </w:rPr>
      </w:pPr>
      <w:r>
        <w:rPr>
          <w:rStyle w:val="51"/>
          <w:rFonts w:hint="eastAsia" w:ascii="宋体" w:hAnsi="宋体"/>
          <w:color w:val="auto"/>
          <w:kern w:val="0"/>
          <w:sz w:val="24"/>
          <w:highlight w:val="none"/>
        </w:rPr>
        <w:t>竞价人</w:t>
      </w:r>
      <w:r>
        <w:rPr>
          <w:rStyle w:val="51"/>
          <w:rFonts w:ascii="宋体" w:hAnsi="宋体"/>
          <w:color w:val="auto"/>
          <w:kern w:val="0"/>
          <w:sz w:val="24"/>
          <w:highlight w:val="none"/>
        </w:rPr>
        <w:t>在竞价平台提交的报价明显低于其他合格</w:t>
      </w:r>
      <w:r>
        <w:rPr>
          <w:rStyle w:val="51"/>
          <w:rFonts w:hint="eastAsia" w:ascii="宋体" w:hAnsi="宋体"/>
          <w:color w:val="auto"/>
          <w:kern w:val="0"/>
          <w:sz w:val="24"/>
          <w:highlight w:val="none"/>
        </w:rPr>
        <w:t>竞价人</w:t>
      </w:r>
      <w:r>
        <w:rPr>
          <w:rStyle w:val="51"/>
          <w:rFonts w:ascii="宋体" w:hAnsi="宋体"/>
          <w:color w:val="auto"/>
          <w:kern w:val="0"/>
          <w:sz w:val="24"/>
          <w:highlight w:val="none"/>
        </w:rPr>
        <w:t>的报价，有可能影响产品（服务）质量或不能诚信履约的，采购人有权要求其在半个小时内提供书面说明，必要时还应要求其一并提交有关证明材料；</w:t>
      </w:r>
      <w:r>
        <w:rPr>
          <w:rStyle w:val="51"/>
          <w:rFonts w:hint="eastAsia" w:ascii="宋体" w:hAnsi="宋体"/>
          <w:color w:val="auto"/>
          <w:kern w:val="0"/>
          <w:sz w:val="24"/>
          <w:highlight w:val="none"/>
        </w:rPr>
        <w:t>竞价人</w:t>
      </w:r>
      <w:r>
        <w:rPr>
          <w:rStyle w:val="51"/>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视为无效报价，采购人有权没收其竞价保证金。</w:t>
      </w:r>
    </w:p>
    <w:p>
      <w:pPr>
        <w:widowControl/>
        <w:spacing w:line="460" w:lineRule="exact"/>
        <w:ind w:firstLine="480" w:firstLineChars="200"/>
        <w:jc w:val="left"/>
        <w:textAlignment w:val="baseline"/>
        <w:rPr>
          <w:rStyle w:val="51"/>
          <w:rFonts w:ascii="宋体" w:hAnsi="宋体"/>
          <w:color w:val="auto"/>
          <w:kern w:val="0"/>
          <w:sz w:val="24"/>
          <w:highlight w:val="none"/>
        </w:rPr>
      </w:pPr>
      <w:r>
        <w:rPr>
          <w:rFonts w:hint="eastAsia" w:ascii="宋体" w:hAnsi="宋体"/>
          <w:color w:val="auto"/>
          <w:sz w:val="24"/>
          <w:highlight w:val="none"/>
        </w:rPr>
        <w:t>（3</w:t>
      </w:r>
      <w:r>
        <w:rPr>
          <w:rStyle w:val="51"/>
          <w:rFonts w:hint="eastAsia" w:ascii="宋体" w:hAnsi="宋体"/>
          <w:color w:val="auto"/>
          <w:kern w:val="0"/>
          <w:sz w:val="24"/>
          <w:highlight w:val="none"/>
        </w:rPr>
        <w:t>）本项目确定的成交供应商家数：本项目推荐一名成交候选人；竞价人</w:t>
      </w:r>
      <w:r>
        <w:rPr>
          <w:rStyle w:val="51"/>
          <w:rFonts w:ascii="宋体" w:hAnsi="宋体"/>
          <w:color w:val="auto"/>
          <w:kern w:val="0"/>
          <w:sz w:val="24"/>
          <w:highlight w:val="none"/>
        </w:rPr>
        <w:t>在</w:t>
      </w:r>
      <w:r>
        <w:rPr>
          <w:rStyle w:val="51"/>
          <w:rFonts w:hint="eastAsia" w:ascii="宋体" w:hAnsi="宋体"/>
          <w:color w:val="auto"/>
          <w:kern w:val="0"/>
          <w:sz w:val="24"/>
          <w:highlight w:val="none"/>
        </w:rPr>
        <w:t>完全满足</w:t>
      </w:r>
      <w:r>
        <w:rPr>
          <w:rStyle w:val="51"/>
          <w:rFonts w:ascii="宋体" w:hAnsi="宋体"/>
          <w:color w:val="auto"/>
          <w:kern w:val="0"/>
          <w:sz w:val="24"/>
          <w:highlight w:val="none"/>
        </w:rPr>
        <w:t>采购需求且报价有效的前提下，最后报价最低者</w:t>
      </w:r>
      <w:r>
        <w:rPr>
          <w:rStyle w:val="51"/>
          <w:rFonts w:hint="eastAsia" w:ascii="宋体" w:hAnsi="宋体"/>
          <w:color w:val="auto"/>
          <w:kern w:val="0"/>
          <w:sz w:val="24"/>
          <w:highlight w:val="none"/>
        </w:rPr>
        <w:t>作为</w:t>
      </w:r>
      <w:r>
        <w:rPr>
          <w:rStyle w:val="51"/>
          <w:rFonts w:ascii="宋体" w:hAnsi="宋体"/>
          <w:color w:val="auto"/>
          <w:kern w:val="0"/>
          <w:sz w:val="24"/>
          <w:highlight w:val="none"/>
        </w:rPr>
        <w:t>成交</w:t>
      </w:r>
      <w:r>
        <w:rPr>
          <w:rStyle w:val="51"/>
          <w:rFonts w:hint="eastAsia" w:ascii="宋体" w:hAnsi="宋体"/>
          <w:color w:val="auto"/>
          <w:kern w:val="0"/>
          <w:sz w:val="24"/>
          <w:highlight w:val="none"/>
        </w:rPr>
        <w:t>候选人</w:t>
      </w:r>
      <w:r>
        <w:rPr>
          <w:rStyle w:val="51"/>
          <w:rFonts w:ascii="宋体" w:hAnsi="宋体"/>
          <w:color w:val="auto"/>
          <w:kern w:val="0"/>
          <w:sz w:val="24"/>
          <w:highlight w:val="none"/>
        </w:rPr>
        <w:t>，若最后报价相同的，则按竞价人提交的最后报价先后顺序确定成交</w:t>
      </w:r>
      <w:r>
        <w:rPr>
          <w:rStyle w:val="51"/>
          <w:rFonts w:hint="eastAsia" w:ascii="宋体" w:hAnsi="宋体"/>
          <w:color w:val="auto"/>
          <w:kern w:val="0"/>
          <w:sz w:val="24"/>
          <w:highlight w:val="none"/>
        </w:rPr>
        <w:t>候选</w:t>
      </w:r>
      <w:r>
        <w:rPr>
          <w:rStyle w:val="51"/>
          <w:rFonts w:ascii="宋体" w:hAnsi="宋体"/>
          <w:color w:val="auto"/>
          <w:kern w:val="0"/>
          <w:sz w:val="24"/>
          <w:highlight w:val="none"/>
        </w:rPr>
        <w:t>人，即提出该最后报价时间较早的作为成交</w:t>
      </w:r>
      <w:r>
        <w:rPr>
          <w:rStyle w:val="51"/>
          <w:rFonts w:hint="eastAsia" w:ascii="宋体" w:hAnsi="宋体"/>
          <w:color w:val="auto"/>
          <w:kern w:val="0"/>
          <w:sz w:val="24"/>
          <w:highlight w:val="none"/>
        </w:rPr>
        <w:t>候选</w:t>
      </w:r>
      <w:r>
        <w:rPr>
          <w:rStyle w:val="51"/>
          <w:rFonts w:ascii="宋体" w:hAnsi="宋体"/>
          <w:color w:val="auto"/>
          <w:kern w:val="0"/>
          <w:sz w:val="24"/>
          <w:highlight w:val="none"/>
        </w:rPr>
        <w:t>人。若出现上述结果均相同的，则采取随机抽取方式确定。</w:t>
      </w:r>
    </w:p>
    <w:p>
      <w:pPr>
        <w:widowControl/>
        <w:spacing w:line="460" w:lineRule="exact"/>
        <w:ind w:firstLine="480" w:firstLineChars="200"/>
        <w:textAlignment w:val="baseline"/>
        <w:rPr>
          <w:rStyle w:val="51"/>
          <w:rFonts w:ascii="宋体" w:hAnsi="宋体"/>
          <w:color w:val="auto"/>
          <w:kern w:val="0"/>
          <w:sz w:val="24"/>
          <w:highlight w:val="none"/>
        </w:rPr>
      </w:pPr>
      <w:r>
        <w:rPr>
          <w:rFonts w:hint="eastAsia" w:ascii="宋体" w:hAnsi="宋体"/>
          <w:color w:val="auto"/>
          <w:sz w:val="24"/>
          <w:highlight w:val="none"/>
        </w:rPr>
        <w:t>（4）竞价人对每次报价时都必须扫描上传有效的竞价一览表并加盖公章，未按要求扫描上传竞价一览表的，报价无效。</w:t>
      </w:r>
      <w:r>
        <w:rPr>
          <w:rStyle w:val="51"/>
          <w:rFonts w:hint="eastAsia" w:ascii="宋体" w:hAnsi="宋体"/>
          <w:color w:val="auto"/>
          <w:kern w:val="0"/>
          <w:sz w:val="24"/>
          <w:highlight w:val="none"/>
        </w:rPr>
        <w:t>竞价人在竞价平台上传的报价文件扫描件</w:t>
      </w:r>
      <w:r>
        <w:rPr>
          <w:rStyle w:val="51"/>
          <w:rFonts w:ascii="宋体" w:hAnsi="宋体"/>
          <w:color w:val="auto"/>
          <w:kern w:val="0"/>
          <w:sz w:val="24"/>
          <w:highlight w:val="none"/>
        </w:rPr>
        <w:t>具有法律效力。</w:t>
      </w:r>
    </w:p>
    <w:p>
      <w:pPr>
        <w:widowControl/>
        <w:spacing w:line="460" w:lineRule="exact"/>
        <w:ind w:firstLine="480" w:firstLineChars="200"/>
        <w:textAlignment w:val="baseline"/>
        <w:rPr>
          <w:rFonts w:ascii="宋体" w:hAnsi="宋体"/>
          <w:b/>
          <w:bCs/>
          <w:color w:val="auto"/>
          <w:sz w:val="24"/>
          <w:highlight w:val="none"/>
        </w:rPr>
      </w:pPr>
      <w:r>
        <w:rPr>
          <w:rFonts w:hint="eastAsia" w:ascii="宋体" w:hAnsi="宋体"/>
          <w:color w:val="auto"/>
          <w:sz w:val="24"/>
          <w:highlight w:val="none"/>
        </w:rPr>
        <w:t>（5）</w:t>
      </w:r>
      <w:r>
        <w:rPr>
          <w:rFonts w:hint="eastAsia" w:ascii="宋体" w:hAnsi="宋体"/>
          <w:b/>
          <w:bCs/>
          <w:color w:val="auto"/>
          <w:sz w:val="24"/>
          <w:highlight w:val="none"/>
        </w:rPr>
        <w:t>竞价人请认真阅读本竞价文件所有条款内容，一经提交报价文件，即视为知悉并同意竞价文件规定的所有条款内容，并不得在竞价后以任何理由对竞价文件提出质疑。在成交后须按竞价文件规定执行，否则视为虚假响应，采购人将追究其相应责任，如保证金不予退还或履约保证金不予退还等，对于采购人产生的损失还应予以赔偿。</w:t>
      </w:r>
    </w:p>
    <w:p>
      <w:pPr>
        <w:widowControl/>
        <w:spacing w:line="46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（6）</w:t>
      </w:r>
      <w:r>
        <w:rPr>
          <w:rStyle w:val="51"/>
          <w:rFonts w:hint="eastAsia" w:ascii="宋体" w:hAnsi="宋体"/>
          <w:color w:val="auto"/>
          <w:kern w:val="0"/>
          <w:sz w:val="24"/>
          <w:highlight w:val="none"/>
        </w:rPr>
        <w:t>竞价人可在</w:t>
      </w:r>
      <w:r>
        <w:rPr>
          <w:rStyle w:val="51"/>
          <w:rFonts w:ascii="宋体" w:hAnsi="宋体"/>
          <w:color w:val="auto"/>
          <w:kern w:val="0"/>
          <w:sz w:val="24"/>
          <w:highlight w:val="none"/>
        </w:rPr>
        <w:t>福建省宏瑞招标代理有限公司网站（http://www.fjhongrui.com）下载中心下载“宏瑞招标网上竞价系统操作手册-</w:t>
      </w:r>
      <w:r>
        <w:rPr>
          <w:rStyle w:val="51"/>
          <w:rFonts w:hint="eastAsia" w:ascii="宋体" w:hAnsi="宋体"/>
          <w:color w:val="auto"/>
          <w:kern w:val="0"/>
          <w:sz w:val="24"/>
          <w:highlight w:val="none"/>
        </w:rPr>
        <w:t>竞价人</w:t>
      </w:r>
      <w:r>
        <w:rPr>
          <w:rStyle w:val="51"/>
          <w:rFonts w:ascii="宋体" w:hAnsi="宋体"/>
          <w:color w:val="auto"/>
          <w:kern w:val="0"/>
          <w:sz w:val="24"/>
          <w:highlight w:val="none"/>
        </w:rPr>
        <w:t>端v1.0”指引，</w:t>
      </w:r>
      <w:r>
        <w:rPr>
          <w:rStyle w:val="51"/>
          <w:rFonts w:hint="eastAsia" w:ascii="宋体" w:hAnsi="宋体"/>
          <w:color w:val="auto"/>
          <w:kern w:val="0"/>
          <w:sz w:val="24"/>
          <w:highlight w:val="none"/>
        </w:rPr>
        <w:t>根据说明</w:t>
      </w:r>
      <w:r>
        <w:rPr>
          <w:rStyle w:val="51"/>
          <w:rFonts w:ascii="宋体" w:hAnsi="宋体"/>
          <w:color w:val="auto"/>
          <w:kern w:val="0"/>
          <w:sz w:val="24"/>
          <w:highlight w:val="none"/>
        </w:rPr>
        <w:t>进行报名、下载、上传、竞价等相关操作，</w:t>
      </w:r>
      <w:r>
        <w:rPr>
          <w:rStyle w:val="51"/>
          <w:rFonts w:hint="eastAsia" w:ascii="宋体" w:hAnsi="宋体"/>
          <w:color w:val="auto"/>
          <w:kern w:val="0"/>
          <w:sz w:val="24"/>
          <w:highlight w:val="none"/>
        </w:rPr>
        <w:t>若实际系统操作中与操作手册不一致的，以实际系统要求的进行操作，</w:t>
      </w:r>
      <w:r>
        <w:rPr>
          <w:rStyle w:val="51"/>
          <w:rFonts w:ascii="宋体" w:hAnsi="宋体"/>
          <w:color w:val="auto"/>
          <w:kern w:val="0"/>
          <w:sz w:val="24"/>
          <w:highlight w:val="none"/>
        </w:rPr>
        <w:t>若因</w:t>
      </w:r>
      <w:r>
        <w:rPr>
          <w:rStyle w:val="51"/>
          <w:rFonts w:hint="eastAsia" w:ascii="宋体" w:hAnsi="宋体"/>
          <w:color w:val="auto"/>
          <w:kern w:val="0"/>
          <w:sz w:val="24"/>
          <w:highlight w:val="none"/>
        </w:rPr>
        <w:t>竞价人</w:t>
      </w:r>
      <w:r>
        <w:rPr>
          <w:rStyle w:val="51"/>
          <w:rFonts w:ascii="宋体" w:hAnsi="宋体"/>
          <w:color w:val="auto"/>
          <w:kern w:val="0"/>
          <w:sz w:val="24"/>
          <w:highlight w:val="none"/>
        </w:rPr>
        <w:t>自身操作不当原因导致报名、下载、上传、竞价等无效，应自行承担相应后果。</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2.最终有效报价确认办法</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（1）在提交的报价文件全部满足竞价文件要求的前提下依据统一的价格要素评定最低报价,按最后报价最低者作为成交候选人，经采购人确认后作为成交供应商。</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（2）算术错误将按以下方法更正：</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①竞价人在竞价平台提交的报价（即合同包总价）与竞价人上传的竞价一览表中的总价不一致的，以竞价人在竞价平台提交的报价（即合同包总价）为准，并修正竞价人上传的竞价一览表；</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②竞价一览表中大写金额和小写金额不一致的，以大写金额为准；</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③竞价一览表中单价金额小数点或百分比有明显错位的，以竞价一览表的总价为准，并修改单价；</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④竞价一览表中总价金额与按照单价汇总金额不一致的，以单价汇总金额计算结果为准。</w:t>
      </w:r>
    </w:p>
    <w:p>
      <w:pPr>
        <w:widowControl/>
        <w:spacing w:line="46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※同时出现两种以上不一致的，按照前款规定的顺序修正。</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14.竞价人应遵守采购相关法规，若竞价人违反规定，将按有关规定处理。</w:t>
      </w:r>
    </w:p>
    <w:p>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15.竞价结果确认</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网上竞价截止时间止，福建省宏瑞招标代理有限公司以书面方式通知采购人。同时将成交结果信息在</w:t>
      </w:r>
      <w:r>
        <w:rPr>
          <w:rFonts w:hint="eastAsia" w:ascii="宋体" w:hAnsi="宋体" w:cs="宋体"/>
          <w:color w:val="auto"/>
          <w:kern w:val="0"/>
          <w:sz w:val="24"/>
          <w:highlight w:val="none"/>
        </w:rPr>
        <w:t>在中国政府采购网，网址www.ccgp.gov.cn、福建省宏瑞招标代理有限公司网站（http://www.fjhongrui.com）</w:t>
      </w:r>
      <w:r>
        <w:rPr>
          <w:rFonts w:hint="eastAsia" w:ascii="宋体" w:hAnsi="宋体" w:cs="宋体"/>
          <w:color w:val="auto"/>
          <w:sz w:val="24"/>
          <w:highlight w:val="none"/>
        </w:rPr>
        <w:t>上公告，公告期限为本公告之日起1个工作日。</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（2）采购单位在提出采购需求时指定品牌的，须在采购单位指定的品牌范围内选定，不符合规定的，</w:t>
      </w:r>
      <w:r>
        <w:rPr>
          <w:rFonts w:hint="eastAsia" w:ascii="宋体" w:hAnsi="宋体" w:cs="宋体"/>
          <w:b/>
          <w:bCs/>
          <w:color w:val="auto"/>
          <w:sz w:val="24"/>
          <w:highlight w:val="none"/>
        </w:rPr>
        <w:t>其竞价无效。</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16.竞价报价偏差</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重大偏差。下列情况属于重大偏差：</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①报价文件未按竞价文件要求加盖公章并由单位负责人或其书面授权的代理人签字的；</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②报价文件载明的竞价项目完成期限超过竞价文件规定的；</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③明显不符合技术规格、技术标准的要求；</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④报价文件载明的货物包装方式、检验标准和方法等不符合竞价文件的要求；</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⑤竞价人在竞价平台提交的报价明显低于成本价（提供书面说明不合理的）或存在恶意竞争情形的；</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⑥报价文件附有采购人不能接受的条件；</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⑦不符合竞价文件中规定的其他实质性要求。</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报价文件有上述情形之一的，认定为未对竞价文件作出实质性响应，</w:t>
      </w:r>
      <w:r>
        <w:rPr>
          <w:rFonts w:hint="eastAsia" w:ascii="宋体" w:hAnsi="宋体" w:cs="宋体"/>
          <w:b/>
          <w:bCs/>
          <w:color w:val="auto"/>
          <w:sz w:val="24"/>
          <w:highlight w:val="none"/>
        </w:rPr>
        <w:t>作无效报价处理</w:t>
      </w:r>
      <w:r>
        <w:rPr>
          <w:rFonts w:hint="eastAsia" w:ascii="宋体" w:hAnsi="宋体" w:cs="宋体"/>
          <w:color w:val="auto"/>
          <w:sz w:val="24"/>
          <w:highlight w:val="none"/>
        </w:rPr>
        <w:t>。</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细微偏差。报价文件在实质上响应竞价文件要求，但在个别地方存在漏项或者提供了不完整的技术信息和数据等情况，并且补正这些遗漏或者不完整不会对其他竞价人造成不公平的结果。细微偏差不影响报价文件的有效性。</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存在细微偏差的竞价人要求在报名结束前予以补正。补正的程序和方法按照法律法规对澄清的规定执行。无法补正的，可在审核时对细微偏差作不利于该竞价人的认定。3个以上（含3个）的累积细微偏差视为技术商务不合格，该竞价人报名审核将不通过。</w:t>
      </w:r>
    </w:p>
    <w:p>
      <w:pPr>
        <w:pStyle w:val="14"/>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若成交供应商的报价文件描述存在前后不一致或响应内容与证明材料不一致或多份证明材料之间不一致或存在其他未响应本竞价文件的情形的，但在报名审核中未能发现，采购人将有权以报价文件描述或证明材料中有利于采购人的内容进行验收或直接取消其成交资格，成交供应商应自行承担由此产生的风险及费用。</w:t>
      </w:r>
    </w:p>
    <w:p>
      <w:pPr>
        <w:widowControl/>
        <w:spacing w:line="460" w:lineRule="exact"/>
        <w:ind w:firstLine="480" w:firstLineChars="200"/>
        <w:jc w:val="left"/>
        <w:rPr>
          <w:color w:val="auto"/>
          <w:sz w:val="24"/>
          <w:highlight w:val="none"/>
        </w:rPr>
      </w:pPr>
      <w:r>
        <w:rPr>
          <w:rFonts w:hint="eastAsia" w:ascii="宋体" w:hAnsi="宋体" w:cs="宋体"/>
          <w:color w:val="auto"/>
          <w:sz w:val="24"/>
          <w:highlight w:val="none"/>
        </w:rPr>
        <w:t>17.</w:t>
      </w:r>
      <w:r>
        <w:rPr>
          <w:rFonts w:hint="eastAsia"/>
          <w:color w:val="auto"/>
          <w:sz w:val="24"/>
          <w:highlight w:val="none"/>
        </w:rPr>
        <w:t>如果竞价人发生以下任何一种情况时，其竞价保证金将被不予退还：</w:t>
      </w:r>
    </w:p>
    <w:p>
      <w:pPr>
        <w:pStyle w:val="18"/>
        <w:spacing w:before="0" w:beforeAutospacing="0" w:after="0" w:afterAutospacing="0" w:line="460" w:lineRule="exact"/>
        <w:ind w:firstLine="480" w:firstLineChars="200"/>
        <w:rPr>
          <w:color w:val="auto"/>
          <w:kern w:val="2"/>
          <w:highlight w:val="none"/>
        </w:rPr>
      </w:pPr>
      <w:r>
        <w:rPr>
          <w:rFonts w:hint="eastAsia"/>
          <w:color w:val="auto"/>
          <w:kern w:val="2"/>
          <w:highlight w:val="none"/>
        </w:rPr>
        <w:t>（1）竞价人在证明材料文件中提供虚假材料的；</w:t>
      </w:r>
    </w:p>
    <w:p>
      <w:pPr>
        <w:pStyle w:val="18"/>
        <w:spacing w:before="0" w:beforeAutospacing="0" w:after="0" w:afterAutospacing="0" w:line="460" w:lineRule="exact"/>
        <w:ind w:firstLine="480" w:firstLineChars="200"/>
        <w:rPr>
          <w:color w:val="auto"/>
          <w:kern w:val="2"/>
          <w:highlight w:val="none"/>
        </w:rPr>
      </w:pPr>
      <w:r>
        <w:rPr>
          <w:rFonts w:hint="eastAsia"/>
          <w:color w:val="auto"/>
          <w:kern w:val="2"/>
          <w:highlight w:val="none"/>
        </w:rPr>
        <w:t>（2）除因不可抗力或竞价文件认可的情形以外，成交供应商不与采购人签订合同或不能履约的；</w:t>
      </w:r>
    </w:p>
    <w:p>
      <w:pPr>
        <w:pStyle w:val="18"/>
        <w:spacing w:before="0" w:beforeAutospacing="0" w:after="0" w:afterAutospacing="0" w:line="460" w:lineRule="exact"/>
        <w:ind w:firstLine="480" w:firstLineChars="200"/>
        <w:rPr>
          <w:color w:val="auto"/>
          <w:kern w:val="2"/>
          <w:highlight w:val="none"/>
        </w:rPr>
      </w:pPr>
      <w:r>
        <w:rPr>
          <w:rFonts w:hint="eastAsia"/>
          <w:color w:val="auto"/>
          <w:kern w:val="2"/>
          <w:highlight w:val="none"/>
        </w:rPr>
        <w:t>（3）成交供应商自动放弃成交资格的；</w:t>
      </w:r>
    </w:p>
    <w:p>
      <w:pPr>
        <w:pStyle w:val="18"/>
        <w:spacing w:before="0" w:beforeAutospacing="0" w:after="0" w:afterAutospacing="0" w:line="460" w:lineRule="exact"/>
        <w:ind w:firstLine="480" w:firstLineChars="200"/>
        <w:rPr>
          <w:color w:val="auto"/>
          <w:kern w:val="2"/>
          <w:highlight w:val="none"/>
        </w:rPr>
      </w:pPr>
      <w:r>
        <w:rPr>
          <w:rFonts w:hint="eastAsia"/>
          <w:color w:val="auto"/>
          <w:kern w:val="2"/>
          <w:highlight w:val="none"/>
        </w:rPr>
        <w:t>（4）竞价人假借以他人名义参加报价或者以其他方式弄虚作假，骗取成交；</w:t>
      </w:r>
    </w:p>
    <w:p>
      <w:pPr>
        <w:pStyle w:val="18"/>
        <w:spacing w:before="0" w:beforeAutospacing="0" w:after="0" w:afterAutospacing="0" w:line="460" w:lineRule="exact"/>
        <w:ind w:firstLine="480" w:firstLineChars="200"/>
        <w:rPr>
          <w:color w:val="auto"/>
          <w:kern w:val="2"/>
          <w:highlight w:val="none"/>
        </w:rPr>
      </w:pPr>
      <w:r>
        <w:rPr>
          <w:rFonts w:hint="eastAsia"/>
          <w:color w:val="auto"/>
          <w:kern w:val="2"/>
          <w:highlight w:val="none"/>
        </w:rPr>
        <w:t>（5）国家法律法规以及竞价文件中规定的其他竞价保证金不予退还的情形。</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上述不予退还竞价保证金的情况不能抵偿给采购人或采购代理机构造成损失的，竞价人还要承担赔偿责任。</w:t>
      </w:r>
    </w:p>
    <w:p>
      <w:pPr>
        <w:widowControl/>
        <w:numPr>
          <w:ilvl w:val="255"/>
          <w:numId w:val="0"/>
        </w:numPr>
        <w:spacing w:line="460" w:lineRule="exact"/>
        <w:ind w:firstLine="482" w:firstLineChars="200"/>
        <w:jc w:val="left"/>
        <w:textAlignment w:val="baseline"/>
        <w:rPr>
          <w:rStyle w:val="51"/>
          <w:rFonts w:ascii="宋体" w:hAnsi="宋体" w:cs="宋体"/>
          <w:b/>
          <w:bCs/>
          <w:color w:val="auto"/>
          <w:sz w:val="24"/>
          <w:highlight w:val="none"/>
        </w:rPr>
      </w:pPr>
      <w:r>
        <w:rPr>
          <w:rStyle w:val="51"/>
          <w:rFonts w:hint="eastAsia" w:ascii="宋体" w:hAnsi="宋体" w:cs="宋体"/>
          <w:b/>
          <w:bCs/>
          <w:color w:val="auto"/>
          <w:sz w:val="24"/>
          <w:highlight w:val="none"/>
        </w:rPr>
        <w:t>18.其他：</w:t>
      </w:r>
    </w:p>
    <w:p>
      <w:pPr>
        <w:widowControl/>
        <w:numPr>
          <w:ilvl w:val="255"/>
          <w:numId w:val="0"/>
        </w:numPr>
        <w:spacing w:line="460" w:lineRule="exact"/>
        <w:ind w:firstLine="482" w:firstLineChars="200"/>
        <w:jc w:val="left"/>
        <w:textAlignment w:val="baseline"/>
        <w:rPr>
          <w:rStyle w:val="51"/>
          <w:color w:val="auto"/>
          <w:highlight w:val="none"/>
        </w:rPr>
      </w:pPr>
      <w:r>
        <w:rPr>
          <w:rStyle w:val="51"/>
          <w:rFonts w:hint="eastAsia" w:ascii="宋体" w:hAnsi="宋体" w:cs="宋体"/>
          <w:b/>
          <w:bCs/>
          <w:color w:val="auto"/>
          <w:sz w:val="24"/>
          <w:highlight w:val="none"/>
        </w:rPr>
        <w:t>成交公告发布后成交供应商须提供纸质报价文件，其他竞价人无需提供。纸质报价文件份数：1套正本，2套副本，副本可以是正本的完整复印件，纸质报价文件均须逐页加盖公章且装订成册。</w:t>
      </w:r>
    </w:p>
    <w:p>
      <w:pPr>
        <w:widowControl/>
        <w:rPr>
          <w:rFonts w:ascii="宋体" w:hAnsi="宋体" w:cs="宋体"/>
          <w:b/>
          <w:color w:val="auto"/>
          <w:kern w:val="0"/>
          <w:sz w:val="32"/>
          <w:szCs w:val="32"/>
          <w:highlight w:val="none"/>
        </w:rPr>
      </w:pPr>
    </w:p>
    <w:p>
      <w:pPr>
        <w:pStyle w:val="49"/>
        <w:rPr>
          <w:rFonts w:ascii="宋体" w:hAnsi="宋体"/>
          <w:b/>
          <w:bCs/>
          <w:color w:val="auto"/>
          <w:sz w:val="30"/>
          <w:szCs w:val="30"/>
          <w:highlight w:val="none"/>
        </w:rPr>
      </w:pPr>
    </w:p>
    <w:p>
      <w:pPr>
        <w:pStyle w:val="49"/>
        <w:rPr>
          <w:rFonts w:ascii="宋体" w:hAnsi="宋体"/>
          <w:b/>
          <w:bCs/>
          <w:color w:val="auto"/>
          <w:sz w:val="30"/>
          <w:szCs w:val="30"/>
          <w:highlight w:val="none"/>
        </w:rPr>
      </w:pPr>
    </w:p>
    <w:p>
      <w:pPr>
        <w:pStyle w:val="49"/>
        <w:rPr>
          <w:rFonts w:ascii="宋体" w:hAnsi="宋体"/>
          <w:b/>
          <w:bCs/>
          <w:color w:val="auto"/>
          <w:sz w:val="30"/>
          <w:szCs w:val="30"/>
          <w:highlight w:val="none"/>
        </w:rPr>
      </w:pPr>
    </w:p>
    <w:p>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pPr>
        <w:autoSpaceDN w:val="0"/>
        <w:spacing w:line="360" w:lineRule="auto"/>
        <w:jc w:val="center"/>
        <w:rPr>
          <w:rFonts w:ascii="宋体" w:hAnsi="宋体"/>
          <w:b/>
          <w:color w:val="auto"/>
          <w:sz w:val="28"/>
          <w:szCs w:val="28"/>
          <w:highlight w:val="none"/>
        </w:rPr>
      </w:pPr>
      <w:r>
        <w:rPr>
          <w:rFonts w:ascii="宋体" w:hAnsi="宋体"/>
          <w:color w:val="auto"/>
          <w:sz w:val="24"/>
          <w:szCs w:val="24"/>
          <w:highlight w:val="none"/>
        </w:rPr>
        <w:br w:type="page"/>
      </w:r>
      <w:r>
        <w:rPr>
          <w:rStyle w:val="23"/>
          <w:rFonts w:hint="eastAsia" w:ascii="宋体" w:hAnsi="宋体"/>
          <w:color w:val="auto"/>
          <w:sz w:val="28"/>
          <w:szCs w:val="28"/>
          <w:highlight w:val="none"/>
        </w:rPr>
        <w:t>福建农林大学网上竞价（货物类）</w:t>
      </w:r>
      <w:r>
        <w:rPr>
          <w:rStyle w:val="23"/>
          <w:rFonts w:ascii="宋体" w:hAnsi="宋体"/>
          <w:color w:val="auto"/>
          <w:sz w:val="28"/>
          <w:szCs w:val="28"/>
          <w:highlight w:val="none"/>
        </w:rPr>
        <w:t>采购合同（参考文本</w:t>
      </w:r>
      <w:r>
        <w:rPr>
          <w:rStyle w:val="23"/>
          <w:rFonts w:hint="eastAsia" w:ascii="宋体" w:hAnsi="宋体"/>
          <w:color w:val="auto"/>
          <w:sz w:val="28"/>
          <w:szCs w:val="28"/>
          <w:highlight w:val="none"/>
        </w:rPr>
        <w:t>2023-01-01版</w:t>
      </w:r>
      <w:r>
        <w:rPr>
          <w:rStyle w:val="23"/>
          <w:rFonts w:ascii="宋体" w:hAnsi="宋体"/>
          <w:color w:val="auto"/>
          <w:sz w:val="28"/>
          <w:szCs w:val="28"/>
          <w:highlight w:val="none"/>
        </w:rPr>
        <w:t>）</w:t>
      </w:r>
    </w:p>
    <w:p>
      <w:pPr>
        <w:pStyle w:val="18"/>
        <w:spacing w:before="0" w:beforeAutospacing="0" w:after="0" w:afterAutospacing="0" w:line="360" w:lineRule="auto"/>
        <w:jc w:val="center"/>
        <w:rPr>
          <w:rFonts w:ascii="宋体" w:hAnsi="宋体"/>
          <w:b/>
          <w:color w:val="auto"/>
          <w:sz w:val="28"/>
          <w:szCs w:val="28"/>
          <w:highlight w:val="none"/>
        </w:rPr>
      </w:pPr>
      <w:r>
        <w:rPr>
          <w:rStyle w:val="23"/>
          <w:rFonts w:ascii="宋体" w:hAnsi="宋体"/>
          <w:color w:val="auto"/>
          <w:sz w:val="28"/>
          <w:szCs w:val="28"/>
          <w:highlight w:val="none"/>
        </w:rPr>
        <w:t>编制说明</w:t>
      </w:r>
    </w:p>
    <w:p>
      <w:pPr>
        <w:pStyle w:val="18"/>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1、签订合同应遵守</w:t>
      </w:r>
      <w:r>
        <w:rPr>
          <w:rStyle w:val="23"/>
          <w:rFonts w:hint="eastAsia" w:ascii="宋体" w:hAnsi="宋体"/>
          <w:color w:val="auto"/>
          <w:szCs w:val="24"/>
          <w:highlight w:val="none"/>
        </w:rPr>
        <w:t>《中华人民共和国政府采购法》、《中华人民共和国民法典》</w:t>
      </w:r>
      <w:r>
        <w:rPr>
          <w:rStyle w:val="23"/>
          <w:rFonts w:ascii="宋体" w:hAnsi="宋体"/>
          <w:color w:val="auto"/>
          <w:szCs w:val="24"/>
          <w:highlight w:val="none"/>
        </w:rPr>
        <w:t>。</w:t>
      </w:r>
    </w:p>
    <w:p>
      <w:pPr>
        <w:pStyle w:val="18"/>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2、签订合同时，采购人与</w:t>
      </w:r>
      <w:r>
        <w:rPr>
          <w:rStyle w:val="23"/>
          <w:rFonts w:hint="eastAsia" w:ascii="宋体" w:hAnsi="宋体" w:cs="宋体"/>
          <w:color w:val="auto"/>
          <w:szCs w:val="24"/>
          <w:highlight w:val="none"/>
        </w:rPr>
        <w:t>成交供应商</w:t>
      </w:r>
      <w:r>
        <w:rPr>
          <w:rStyle w:val="23"/>
          <w:rFonts w:ascii="宋体" w:hAnsi="宋体"/>
          <w:color w:val="auto"/>
          <w:szCs w:val="24"/>
          <w:highlight w:val="none"/>
        </w:rPr>
        <w:t>应结合</w:t>
      </w:r>
      <w:r>
        <w:rPr>
          <w:rStyle w:val="23"/>
          <w:rFonts w:hint="eastAsia" w:ascii="宋体" w:hAnsi="宋体"/>
          <w:color w:val="auto"/>
          <w:szCs w:val="24"/>
          <w:highlight w:val="none"/>
        </w:rPr>
        <w:t>竞价文件</w:t>
      </w:r>
      <w:r>
        <w:rPr>
          <w:rStyle w:val="23"/>
          <w:rFonts w:ascii="宋体" w:hAnsi="宋体"/>
          <w:color w:val="auto"/>
          <w:szCs w:val="24"/>
          <w:highlight w:val="none"/>
        </w:rPr>
        <w:t>规定填</w:t>
      </w:r>
      <w:r>
        <w:rPr>
          <w:rStyle w:val="23"/>
          <w:rFonts w:hint="eastAsia" w:ascii="宋体" w:hAnsi="宋体"/>
          <w:color w:val="auto"/>
          <w:szCs w:val="24"/>
          <w:highlight w:val="none"/>
        </w:rPr>
        <w:t>写</w:t>
      </w:r>
      <w:r>
        <w:rPr>
          <w:rStyle w:val="23"/>
          <w:rFonts w:ascii="宋体" w:hAnsi="宋体"/>
          <w:color w:val="auto"/>
          <w:szCs w:val="24"/>
          <w:highlight w:val="none"/>
        </w:rPr>
        <w:t>相应内容。</w:t>
      </w:r>
      <w:r>
        <w:rPr>
          <w:rStyle w:val="23"/>
          <w:rFonts w:hint="eastAsia" w:ascii="宋体" w:hAnsi="宋体"/>
          <w:color w:val="auto"/>
          <w:szCs w:val="24"/>
          <w:highlight w:val="none"/>
        </w:rPr>
        <w:t>竞价文件</w:t>
      </w:r>
      <w:r>
        <w:rPr>
          <w:rStyle w:val="23"/>
          <w:rFonts w:ascii="宋体" w:hAnsi="宋体"/>
          <w:color w:val="auto"/>
          <w:szCs w:val="24"/>
          <w:highlight w:val="none"/>
        </w:rPr>
        <w:t>已有规定的，双方均不得变更或调整；</w:t>
      </w:r>
      <w:r>
        <w:rPr>
          <w:rStyle w:val="23"/>
          <w:rFonts w:hint="eastAsia" w:ascii="宋体" w:hAnsi="宋体"/>
          <w:color w:val="auto"/>
          <w:szCs w:val="24"/>
          <w:highlight w:val="none"/>
        </w:rPr>
        <w:t>竞价文件</w:t>
      </w:r>
      <w:r>
        <w:rPr>
          <w:rStyle w:val="23"/>
          <w:rFonts w:ascii="宋体" w:hAnsi="宋体"/>
          <w:color w:val="auto"/>
          <w:szCs w:val="24"/>
          <w:highlight w:val="none"/>
        </w:rPr>
        <w:t>未作规定的，双方可通过友好协商进行约定。</w:t>
      </w:r>
    </w:p>
    <w:p>
      <w:pPr>
        <w:pStyle w:val="18"/>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3、国家有关部门</w:t>
      </w:r>
      <w:r>
        <w:rPr>
          <w:rStyle w:val="23"/>
          <w:rFonts w:hint="eastAsia" w:ascii="宋体" w:hAnsi="宋体"/>
          <w:color w:val="auto"/>
          <w:szCs w:val="24"/>
          <w:highlight w:val="none"/>
        </w:rPr>
        <w:t>若</w:t>
      </w:r>
      <w:r>
        <w:rPr>
          <w:rStyle w:val="23"/>
          <w:rFonts w:ascii="宋体" w:hAnsi="宋体"/>
          <w:color w:val="auto"/>
          <w:szCs w:val="24"/>
          <w:highlight w:val="none"/>
        </w:rPr>
        <w:t>对合同有规范文本的，可使用相应合同文本。</w:t>
      </w:r>
    </w:p>
    <w:p>
      <w:pPr>
        <w:pStyle w:val="18"/>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ascii="宋体" w:hAnsi="宋体"/>
          <w:color w:val="auto"/>
          <w:szCs w:val="24"/>
          <w:highlight w:val="none"/>
          <w:u w:val="single"/>
        </w:rPr>
        <w:t>福建农林大学</w:t>
      </w:r>
    </w:p>
    <w:p>
      <w:pPr>
        <w:pStyle w:val="18"/>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w:t>
      </w:r>
      <w:r>
        <w:rPr>
          <w:rFonts w:ascii="宋体" w:hAnsi="宋体"/>
          <w:color w:val="auto"/>
          <w:szCs w:val="24"/>
          <w:highlight w:val="none"/>
        </w:rPr>
        <w:t>文件；</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2、合同标的</w:t>
      </w:r>
    </w:p>
    <w:p>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货物类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1126"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794"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963"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品牌</w:t>
            </w:r>
          </w:p>
        </w:tc>
        <w:tc>
          <w:tcPr>
            <w:tcW w:w="1341"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数量</w:t>
            </w:r>
            <w:r>
              <w:rPr>
                <w:rFonts w:hint="eastAsia" w:ascii="宋体" w:hAnsi="宋体" w:cs="宋体"/>
                <w:color w:val="auto"/>
                <w:szCs w:val="24"/>
                <w:highlight w:val="none"/>
              </w:rPr>
              <w:br w:type="textWrapping"/>
            </w:r>
            <w:r>
              <w:rPr>
                <w:rFonts w:hint="eastAsia" w:ascii="宋体" w:hAnsi="宋体" w:cs="宋体"/>
                <w:color w:val="auto"/>
                <w:szCs w:val="24"/>
                <w:highlight w:val="none"/>
              </w:rPr>
              <w:t>（单位）</w:t>
            </w:r>
          </w:p>
        </w:tc>
        <w:tc>
          <w:tcPr>
            <w:tcW w:w="934"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单价（元）</w:t>
            </w:r>
          </w:p>
        </w:tc>
        <w:tc>
          <w:tcPr>
            <w:tcW w:w="1050"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总金额（元）</w:t>
            </w:r>
          </w:p>
        </w:tc>
        <w:tc>
          <w:tcPr>
            <w:tcW w:w="935"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产地</w:t>
            </w:r>
            <w:r>
              <w:rPr>
                <w:rFonts w:hint="eastAsia" w:ascii="宋体" w:hAnsi="宋体" w:cs="宋体"/>
                <w:color w:val="auto"/>
                <w:szCs w:val="24"/>
                <w:highlight w:val="none"/>
              </w:rPr>
              <w:br w:type="textWrapping"/>
            </w:r>
            <w:r>
              <w:rPr>
                <w:rFonts w:hint="eastAsia" w:ascii="宋体" w:hAnsi="宋体" w:cs="宋体"/>
                <w:color w:val="auto"/>
                <w:szCs w:val="24"/>
                <w:highlight w:val="none"/>
              </w:rPr>
              <w:t>类型</w:t>
            </w:r>
          </w:p>
        </w:tc>
        <w:tc>
          <w:tcPr>
            <w:tcW w:w="1211"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8"/>
              <w:spacing w:before="0" w:beforeAutospacing="0" w:after="0" w:afterAutospacing="0" w:line="360" w:lineRule="auto"/>
              <w:rPr>
                <w:rFonts w:ascii="宋体" w:hAnsi="宋体" w:cs="宋体"/>
                <w:color w:val="auto"/>
                <w:szCs w:val="24"/>
                <w:highlight w:val="none"/>
              </w:rPr>
            </w:pPr>
          </w:p>
        </w:tc>
        <w:tc>
          <w:tcPr>
            <w:tcW w:w="1126" w:type="dxa"/>
          </w:tcPr>
          <w:p>
            <w:pPr>
              <w:pStyle w:val="18"/>
              <w:spacing w:before="0" w:beforeAutospacing="0" w:after="0" w:afterAutospacing="0" w:line="360" w:lineRule="auto"/>
              <w:rPr>
                <w:rFonts w:ascii="宋体" w:hAnsi="宋体" w:cs="宋体"/>
                <w:color w:val="auto"/>
                <w:szCs w:val="24"/>
                <w:highlight w:val="none"/>
              </w:rPr>
            </w:pPr>
          </w:p>
        </w:tc>
        <w:tc>
          <w:tcPr>
            <w:tcW w:w="794" w:type="dxa"/>
          </w:tcPr>
          <w:p>
            <w:pPr>
              <w:pStyle w:val="18"/>
              <w:spacing w:before="0" w:beforeAutospacing="0" w:after="0" w:afterAutospacing="0" w:line="360" w:lineRule="auto"/>
              <w:rPr>
                <w:rFonts w:ascii="宋体" w:hAnsi="宋体" w:cs="宋体"/>
                <w:color w:val="auto"/>
                <w:szCs w:val="24"/>
                <w:highlight w:val="none"/>
              </w:rPr>
            </w:pPr>
          </w:p>
        </w:tc>
        <w:tc>
          <w:tcPr>
            <w:tcW w:w="963" w:type="dxa"/>
          </w:tcPr>
          <w:p>
            <w:pPr>
              <w:pStyle w:val="18"/>
              <w:spacing w:before="0" w:beforeAutospacing="0" w:after="0" w:afterAutospacing="0" w:line="360" w:lineRule="auto"/>
              <w:rPr>
                <w:rFonts w:ascii="宋体" w:hAnsi="宋体" w:cs="宋体"/>
                <w:color w:val="auto"/>
                <w:szCs w:val="24"/>
                <w:highlight w:val="none"/>
              </w:rPr>
            </w:pPr>
          </w:p>
        </w:tc>
        <w:tc>
          <w:tcPr>
            <w:tcW w:w="1341" w:type="dxa"/>
          </w:tcPr>
          <w:p>
            <w:pPr>
              <w:pStyle w:val="18"/>
              <w:spacing w:before="0" w:beforeAutospacing="0" w:after="0" w:afterAutospacing="0" w:line="360" w:lineRule="auto"/>
              <w:rPr>
                <w:rFonts w:ascii="宋体" w:hAnsi="宋体" w:cs="宋体"/>
                <w:color w:val="auto"/>
                <w:szCs w:val="24"/>
                <w:highlight w:val="none"/>
              </w:rPr>
            </w:pPr>
          </w:p>
        </w:tc>
        <w:tc>
          <w:tcPr>
            <w:tcW w:w="934" w:type="dxa"/>
          </w:tcPr>
          <w:p>
            <w:pPr>
              <w:pStyle w:val="18"/>
              <w:spacing w:before="0" w:beforeAutospacing="0" w:after="0" w:afterAutospacing="0" w:line="360" w:lineRule="auto"/>
              <w:rPr>
                <w:rFonts w:ascii="宋体" w:hAnsi="宋体" w:cs="宋体"/>
                <w:color w:val="auto"/>
                <w:szCs w:val="24"/>
                <w:highlight w:val="none"/>
              </w:rPr>
            </w:pPr>
          </w:p>
        </w:tc>
        <w:tc>
          <w:tcPr>
            <w:tcW w:w="1050" w:type="dxa"/>
          </w:tcPr>
          <w:p>
            <w:pPr>
              <w:pStyle w:val="18"/>
              <w:spacing w:before="0" w:beforeAutospacing="0" w:after="0" w:afterAutospacing="0" w:line="360" w:lineRule="auto"/>
              <w:rPr>
                <w:rFonts w:ascii="宋体" w:hAnsi="宋体" w:cs="宋体"/>
                <w:color w:val="auto"/>
                <w:szCs w:val="24"/>
                <w:highlight w:val="none"/>
              </w:rPr>
            </w:pPr>
          </w:p>
        </w:tc>
        <w:tc>
          <w:tcPr>
            <w:tcW w:w="935" w:type="dxa"/>
          </w:tcPr>
          <w:p>
            <w:pPr>
              <w:pStyle w:val="18"/>
              <w:spacing w:before="0" w:beforeAutospacing="0" w:after="0" w:afterAutospacing="0" w:line="360" w:lineRule="auto"/>
              <w:rPr>
                <w:rFonts w:ascii="宋体" w:hAnsi="宋体" w:cs="宋体"/>
                <w:color w:val="auto"/>
                <w:szCs w:val="24"/>
                <w:highlight w:val="none"/>
              </w:rPr>
            </w:pPr>
          </w:p>
        </w:tc>
        <w:tc>
          <w:tcPr>
            <w:tcW w:w="1211" w:type="dxa"/>
          </w:tcPr>
          <w:p>
            <w:pPr>
              <w:pStyle w:val="18"/>
              <w:spacing w:before="0" w:beforeAutospacing="0" w:after="0" w:afterAutospacing="0" w:line="360" w:lineRule="auto"/>
              <w:rPr>
                <w:rFonts w:ascii="宋体" w:hAnsi="宋体" w:cs="宋体"/>
                <w:color w:val="auto"/>
                <w:szCs w:val="24"/>
                <w:highlight w:val="none"/>
              </w:rPr>
            </w:pPr>
          </w:p>
        </w:tc>
      </w:tr>
    </w:tbl>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3.1合同总金额为人民币大写：</w:t>
      </w:r>
      <w:r>
        <w:rPr>
          <w:rFonts w:ascii="宋体" w:hAnsi="宋体"/>
          <w:color w:val="auto"/>
          <w:szCs w:val="24"/>
          <w:highlight w:val="none"/>
          <w:u w:val="single"/>
        </w:rPr>
        <w:t>              </w:t>
      </w:r>
      <w:r>
        <w:rPr>
          <w:rFonts w:ascii="宋体" w:hAnsi="宋体"/>
          <w:color w:val="auto"/>
          <w:szCs w:val="24"/>
          <w:highlight w:val="none"/>
        </w:rPr>
        <w:t>元（￥</w:t>
      </w:r>
      <w:r>
        <w:rPr>
          <w:rFonts w:ascii="宋体" w:hAnsi="宋体"/>
          <w:color w:val="auto"/>
          <w:szCs w:val="24"/>
          <w:highlight w:val="none"/>
          <w:u w:val="single"/>
        </w:rPr>
        <w:t>              </w:t>
      </w:r>
      <w:r>
        <w:rPr>
          <w:rFonts w:ascii="宋体" w:hAnsi="宋体"/>
          <w:color w:val="auto"/>
          <w:szCs w:val="24"/>
          <w:highlight w:val="none"/>
        </w:rPr>
        <w:t>）。</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4.1交付时间：合同签订之日起个日历日内供货并安装调试完毕，甲方在规定期限内组织验收。若因甲方原因或不可抗力等因素导致的延迟交付，交付期可顺延。</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r>
        <w:rPr>
          <w:rFonts w:ascii="宋体" w:hAnsi="宋体"/>
          <w:color w:val="auto"/>
          <w:szCs w:val="24"/>
          <w:highlight w:val="none"/>
        </w:rPr>
        <w:t> </w:t>
      </w:r>
    </w:p>
    <w:p>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hint="eastAsia" w:ascii="宋体" w:hAnsi="宋体"/>
          <w:color w:val="auto"/>
          <w:sz w:val="24"/>
          <w:szCs w:val="24"/>
          <w:highlight w:val="none"/>
        </w:rPr>
        <w:t>验收合格交付采购人使用。</w:t>
      </w:r>
      <w:r>
        <w:rPr>
          <w:rFonts w:ascii="宋体" w:hAnsi="宋体"/>
          <w:color w:val="auto"/>
          <w:szCs w:val="24"/>
          <w:highlight w:val="none"/>
        </w:rPr>
        <w:t>  </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r>
        <w:rPr>
          <w:rFonts w:hint="eastAsia" w:ascii="宋体" w:hAnsi="宋体"/>
          <w:color w:val="auto"/>
          <w:highlight w:val="none"/>
        </w:rPr>
        <w:t>：</w:t>
      </w:r>
    </w:p>
    <w:p>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5.2其他合同标的内容详见本项目相关文件。</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pPr>
        <w:pStyle w:val="18"/>
        <w:spacing w:before="0" w:beforeAutospacing="0" w:after="0" w:afterAutospacing="0" w:line="360" w:lineRule="auto"/>
        <w:ind w:firstLine="480"/>
        <w:rPr>
          <w:rFonts w:ascii="宋体" w:hAnsi="宋体"/>
          <w:color w:val="auto"/>
          <w:highlight w:val="none"/>
        </w:rPr>
      </w:pPr>
      <w:r>
        <w:rPr>
          <w:rFonts w:ascii="宋体" w:hAnsi="宋体"/>
          <w:color w:val="auto"/>
          <w:szCs w:val="24"/>
          <w:highlight w:val="none"/>
        </w:rPr>
        <w:t>6.</w:t>
      </w:r>
      <w:r>
        <w:rPr>
          <w:rFonts w:ascii="宋体" w:hAnsi="宋体"/>
          <w:color w:val="auto"/>
          <w:highlight w:val="none"/>
        </w:rPr>
        <w:t>1验收应按照竞价文件、乙方</w:t>
      </w:r>
      <w:r>
        <w:rPr>
          <w:rFonts w:hint="eastAsia" w:ascii="宋体" w:hAnsi="宋体"/>
          <w:color w:val="auto"/>
          <w:highlight w:val="none"/>
        </w:rPr>
        <w:t>报价文件</w:t>
      </w:r>
      <w:r>
        <w:rPr>
          <w:rFonts w:ascii="宋体" w:hAnsi="宋体"/>
          <w:color w:val="auto"/>
          <w:highlight w:val="none"/>
        </w:rPr>
        <w:t xml:space="preserve">的规定或约定进行，具体如下： </w:t>
      </w:r>
    </w:p>
    <w:p>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6.1.2对于特殊或需依据检测结果做出结论的项目应邀请国家认可的质量检测机构或部门参与验收。</w:t>
      </w:r>
    </w:p>
    <w:p>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6.1.3验收结果经甲乙双方确认后，甲乙双方代表必须按《</w:t>
      </w:r>
      <w:r>
        <w:rPr>
          <w:rFonts w:hint="eastAsia" w:ascii="宋体" w:hAnsi="宋体"/>
          <w:color w:val="auto"/>
          <w:highlight w:val="none"/>
        </w:rPr>
        <w:t>福建农林大学物资设备验收单》</w:t>
      </w:r>
      <w:r>
        <w:rPr>
          <w:rFonts w:ascii="宋体" w:hAnsi="宋体"/>
          <w:color w:val="auto"/>
          <w:highlight w:val="none"/>
        </w:rPr>
        <w:t>上规定的项目对照本合同填好验收结果并签名，甲方最终用户加盖单位公章后，提交相关主管部门备案。</w:t>
      </w:r>
    </w:p>
    <w:p>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6.1.4如货物在质量保证期内被证明存在缺陷，包括潜在的缺陷或使用不合适的材料，甲方有权凭有关证明文件向乙方提出索赔。 </w:t>
      </w:r>
    </w:p>
    <w:p>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6.1.5异议期：货物验收后10个工作日内甲方对货物有异议的，乙方应在</w:t>
      </w:r>
      <w:r>
        <w:rPr>
          <w:rFonts w:hint="eastAsia" w:ascii="宋体" w:hAnsi="宋体"/>
          <w:color w:val="auto"/>
          <w:highlight w:val="none"/>
        </w:rPr>
        <w:t>3</w:t>
      </w:r>
      <w:r>
        <w:rPr>
          <w:rFonts w:ascii="宋体" w:hAnsi="宋体"/>
          <w:color w:val="auto"/>
          <w:highlight w:val="none"/>
        </w:rPr>
        <w:t>个工作日内负责解决，否则视为乙方根本违约。</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pPr>
        <w:pStyle w:val="18"/>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8"/>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pPr>
              <w:pStyle w:val="18"/>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pPr>
              <w:pStyle w:val="18"/>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8"/>
              <w:spacing w:before="0" w:beforeAutospacing="0" w:after="0" w:afterAutospacing="0" w:line="360" w:lineRule="auto"/>
              <w:rPr>
                <w:rFonts w:ascii="宋体" w:hAnsi="宋体"/>
                <w:color w:val="auto"/>
                <w:szCs w:val="24"/>
                <w:highlight w:val="none"/>
              </w:rPr>
            </w:pPr>
          </w:p>
        </w:tc>
        <w:tc>
          <w:tcPr>
            <w:tcW w:w="3686" w:type="dxa"/>
          </w:tcPr>
          <w:p>
            <w:pPr>
              <w:pStyle w:val="18"/>
              <w:spacing w:before="0" w:beforeAutospacing="0" w:after="0" w:afterAutospacing="0" w:line="360" w:lineRule="auto"/>
              <w:rPr>
                <w:rFonts w:ascii="宋体" w:hAnsi="宋体"/>
                <w:color w:val="auto"/>
                <w:szCs w:val="24"/>
                <w:highlight w:val="none"/>
              </w:rPr>
            </w:pPr>
          </w:p>
        </w:tc>
        <w:tc>
          <w:tcPr>
            <w:tcW w:w="5521" w:type="dxa"/>
          </w:tcPr>
          <w:p>
            <w:pPr>
              <w:widowControl/>
              <w:spacing w:line="360" w:lineRule="auto"/>
              <w:rPr>
                <w:rFonts w:ascii="宋体" w:hAnsi="宋体"/>
                <w:color w:val="auto"/>
                <w:highlight w:val="none"/>
              </w:rPr>
            </w:pPr>
            <w:r>
              <w:rPr>
                <w:rFonts w:ascii="宋体" w:hAnsi="宋体" w:cs="宋体"/>
                <w:color w:val="auto"/>
                <w:sz w:val="24"/>
                <w:szCs w:val="24"/>
                <w:highlight w:val="none"/>
              </w:rPr>
              <w:t>设备完成安装、调试及按合同要求验收合格运行一个月后无质量问题</w:t>
            </w:r>
            <w:r>
              <w:rPr>
                <w:rFonts w:hint="eastAsia" w:ascii="宋体" w:hAnsi="宋体" w:cs="宋体"/>
                <w:color w:val="auto"/>
                <w:sz w:val="24"/>
                <w:szCs w:val="24"/>
                <w:highlight w:val="none"/>
              </w:rPr>
              <w:t>的情况</w:t>
            </w:r>
            <w:r>
              <w:rPr>
                <w:rFonts w:ascii="宋体" w:hAnsi="宋体" w:cs="宋体"/>
                <w:color w:val="auto"/>
                <w:sz w:val="24"/>
                <w:szCs w:val="24"/>
                <w:highlight w:val="none"/>
              </w:rPr>
              <w:t>下一次性全额付款（</w:t>
            </w:r>
            <w:r>
              <w:rPr>
                <w:rFonts w:hint="eastAsia" w:ascii="宋体" w:hAnsi="宋体" w:cs="宋体"/>
                <w:color w:val="auto"/>
                <w:sz w:val="24"/>
                <w:szCs w:val="24"/>
                <w:highlight w:val="none"/>
              </w:rPr>
              <w:t>乙方</w:t>
            </w:r>
            <w:r>
              <w:rPr>
                <w:rFonts w:ascii="宋体" w:hAnsi="宋体" w:cs="宋体"/>
                <w:color w:val="auto"/>
                <w:sz w:val="24"/>
                <w:szCs w:val="24"/>
                <w:highlight w:val="none"/>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highlight w:val="none"/>
              </w:rPr>
              <w:t>止</w:t>
            </w:r>
            <w:r>
              <w:rPr>
                <w:rFonts w:ascii="宋体" w:hAnsi="宋体" w:cs="宋体"/>
                <w:color w:val="auto"/>
                <w:sz w:val="24"/>
                <w:szCs w:val="24"/>
                <w:highlight w:val="none"/>
              </w:rPr>
              <w:t>）</w:t>
            </w:r>
          </w:p>
        </w:tc>
      </w:tr>
    </w:tbl>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按合同清单上的货物运达指定地点并安装调试完成后，甲方应严格按照竞价文件要求在双方约定的时间内进行验收，甲方无正当理由不得无故拖延验收时间。</w:t>
      </w:r>
    </w:p>
    <w:p>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10.2乙方所交货物不符合本合同要求的，甲方</w:t>
      </w:r>
      <w:r>
        <w:rPr>
          <w:rFonts w:hint="eastAsia" w:ascii="宋体" w:hAnsi="宋体"/>
          <w:color w:val="auto"/>
          <w:szCs w:val="24"/>
          <w:highlight w:val="none"/>
        </w:rPr>
        <w:t>有权拒收并没收其履约保证金</w:t>
      </w:r>
      <w:r>
        <w:rPr>
          <w:rFonts w:ascii="宋体" w:hAnsi="宋体"/>
          <w:color w:val="auto"/>
          <w:highlight w:val="none"/>
        </w:rPr>
        <w:t>，且涉及到的部分合同条款甲方有权终止履行。</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 xml:space="preserve"> 10.3乙方不能按时交付货物的，甲方</w:t>
      </w:r>
      <w:r>
        <w:rPr>
          <w:rFonts w:hint="eastAsia" w:ascii="宋体" w:hAnsi="宋体"/>
          <w:color w:val="auto"/>
          <w:szCs w:val="24"/>
          <w:highlight w:val="none"/>
        </w:rPr>
        <w:t>有权没收其履约保证金</w:t>
      </w:r>
      <w:r>
        <w:rPr>
          <w:rFonts w:ascii="宋体" w:hAnsi="宋体"/>
          <w:color w:val="auto"/>
          <w:highlight w:val="none"/>
        </w:rPr>
        <w:t>，</w:t>
      </w:r>
      <w:r>
        <w:rPr>
          <w:rFonts w:hint="eastAsia" w:ascii="宋体" w:hAnsi="宋体"/>
          <w:color w:val="auto"/>
          <w:szCs w:val="24"/>
          <w:highlight w:val="none"/>
        </w:rPr>
        <w:t>乙方逾期交付货物，应向</w:t>
      </w:r>
      <w:r>
        <w:rPr>
          <w:rFonts w:ascii="宋体" w:hAnsi="宋体"/>
          <w:color w:val="auto"/>
          <w:highlight w:val="none"/>
        </w:rPr>
        <w:t>甲方</w:t>
      </w:r>
      <w:r>
        <w:rPr>
          <w:rFonts w:hint="eastAsia" w:ascii="宋体" w:hAnsi="宋体"/>
          <w:color w:val="auto"/>
          <w:szCs w:val="24"/>
          <w:highlight w:val="none"/>
        </w:rPr>
        <w:t>每日偿付货款5‰的违约金，</w:t>
      </w:r>
      <w:r>
        <w:rPr>
          <w:rFonts w:ascii="宋体" w:hAnsi="宋体"/>
          <w:color w:val="auto"/>
          <w:highlight w:val="none"/>
        </w:rPr>
        <w:t xml:space="preserve">逾期超过15日的，甲方有权单方解除本合同。 </w:t>
      </w:r>
    </w:p>
    <w:p>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10.4乙方未经甲方同意单方面终止合同的，乙方除了应向甲方赔偿因合同终止导致的损失外，还应向甲方偿付该合同款总额30%的违约金。 </w:t>
      </w:r>
    </w:p>
    <w:p>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10.5因乙方违约对甲方造成损失的赔偿金及合同约定的违约金均可由甲方从未支付的合同款或履约保证金中扣除。 </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10.6 因甲方原因导致乙方未能按合同约定履行的，乙方可免于承担违约责任。</w:t>
      </w:r>
    </w:p>
    <w:p>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11、知识产权 </w:t>
      </w:r>
    </w:p>
    <w:p>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11.2若乙方提供的采购标的不符合国家知识产权法律、法规的规定或被有关主管机关认定为假冒伪劣品，则乙方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14.1货物主要技术参数要求（请按品目详细列明）</w:t>
      </w:r>
    </w:p>
    <w:p>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若内容较多则详见报价文件。</w:t>
      </w:r>
    </w:p>
    <w:p>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14.2质量保证期及售后服务</w:t>
      </w:r>
    </w:p>
    <w:p>
      <w:pPr>
        <w:pStyle w:val="10"/>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根据竞价文件</w:t>
      </w:r>
      <w:r>
        <w:rPr>
          <w:rFonts w:ascii="宋体" w:hAnsi="宋体"/>
          <w:color w:val="auto"/>
          <w:kern w:val="0"/>
          <w:sz w:val="24"/>
          <w:szCs w:val="24"/>
          <w:highlight w:val="none"/>
        </w:rPr>
        <w:t>/</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相应内容进行填写</w:t>
      </w:r>
      <w:r>
        <w:rPr>
          <w:rFonts w:hint="eastAsia" w:ascii="宋体" w:hAnsi="宋体"/>
          <w:color w:val="auto"/>
          <w:kern w:val="0"/>
          <w:sz w:val="24"/>
          <w:szCs w:val="24"/>
          <w:highlight w:val="none"/>
        </w:rPr>
        <w:t>，特别注意质量保证期有无延长；</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pPr>
        <w:pStyle w:val="18"/>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 </w:t>
      </w:r>
    </w:p>
    <w:p>
      <w:pPr>
        <w:pStyle w:val="18"/>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pPr>
        <w:pStyle w:val="18"/>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pPr>
        <w:pStyle w:val="18"/>
        <w:spacing w:before="75" w:after="75" w:line="360" w:lineRule="auto"/>
        <w:rPr>
          <w:rFonts w:ascii="宋体" w:hAnsi="宋体" w:cs="宋体"/>
          <w:color w:val="auto"/>
          <w:szCs w:val="24"/>
          <w:highlight w:val="none"/>
        </w:rPr>
      </w:pPr>
    </w:p>
    <w:p>
      <w:pPr>
        <w:pStyle w:val="18"/>
        <w:spacing w:before="75" w:after="75" w:line="360" w:lineRule="auto"/>
        <w:rPr>
          <w:rFonts w:ascii="宋体" w:hAnsi="宋体"/>
          <w:color w:val="auto"/>
          <w:szCs w:val="24"/>
          <w:highlight w:val="none"/>
        </w:rPr>
      </w:pPr>
    </w:p>
    <w:p>
      <w:pPr>
        <w:pStyle w:val="18"/>
        <w:spacing w:before="75" w:after="75" w:line="360" w:lineRule="auto"/>
        <w:rPr>
          <w:rFonts w:ascii="宋体" w:hAnsi="宋体"/>
          <w:color w:val="auto"/>
          <w:szCs w:val="24"/>
          <w:highlight w:val="none"/>
        </w:rPr>
      </w:pPr>
    </w:p>
    <w:p>
      <w:pPr>
        <w:pStyle w:val="18"/>
        <w:spacing w:before="75" w:after="75" w:line="360" w:lineRule="auto"/>
        <w:rPr>
          <w:rFonts w:ascii="宋体" w:hAnsi="宋体"/>
          <w:color w:val="auto"/>
          <w:szCs w:val="24"/>
          <w:highlight w:val="none"/>
        </w:rPr>
      </w:pPr>
    </w:p>
    <w:p>
      <w:pPr>
        <w:pStyle w:val="18"/>
        <w:spacing w:before="75" w:after="75" w:line="360" w:lineRule="auto"/>
        <w:rPr>
          <w:rFonts w:ascii="宋体" w:hAnsi="宋体"/>
          <w:color w:val="auto"/>
          <w:szCs w:val="24"/>
          <w:highlight w:val="none"/>
        </w:rPr>
      </w:pPr>
    </w:p>
    <w:p>
      <w:pPr>
        <w:pStyle w:val="18"/>
        <w:spacing w:before="75" w:after="75" w:line="360" w:lineRule="auto"/>
        <w:rPr>
          <w:rFonts w:ascii="宋体" w:hAnsi="宋体"/>
          <w:color w:val="auto"/>
          <w:szCs w:val="24"/>
          <w:highlight w:val="none"/>
        </w:rPr>
      </w:pPr>
    </w:p>
    <w:p>
      <w:pPr>
        <w:pStyle w:val="18"/>
        <w:spacing w:before="75" w:after="75" w:line="360" w:lineRule="auto"/>
        <w:rPr>
          <w:rFonts w:ascii="宋体" w:hAnsi="宋体"/>
          <w:color w:val="auto"/>
          <w:szCs w:val="24"/>
          <w:highlight w:val="none"/>
        </w:rPr>
      </w:pPr>
    </w:p>
    <w:p>
      <w:pPr>
        <w:pStyle w:val="18"/>
        <w:spacing w:before="75" w:after="75" w:line="360" w:lineRule="auto"/>
        <w:rPr>
          <w:rFonts w:ascii="宋体" w:hAnsi="宋体"/>
          <w:color w:val="auto"/>
          <w:szCs w:val="24"/>
          <w:highlight w:val="none"/>
        </w:rPr>
      </w:pPr>
    </w:p>
    <w:p>
      <w:pPr>
        <w:pStyle w:val="18"/>
        <w:spacing w:before="75" w:after="75" w:line="360" w:lineRule="auto"/>
        <w:rPr>
          <w:rFonts w:ascii="宋体" w:hAnsi="宋体"/>
          <w:color w:val="auto"/>
          <w:szCs w:val="24"/>
          <w:highlight w:val="none"/>
        </w:rPr>
      </w:pPr>
    </w:p>
    <w:p>
      <w:pPr>
        <w:autoSpaceDN w:val="0"/>
        <w:spacing w:line="360" w:lineRule="auto"/>
        <w:rPr>
          <w:rStyle w:val="23"/>
          <w:rFonts w:ascii="宋体" w:hAnsi="宋体"/>
          <w:color w:val="auto"/>
          <w:sz w:val="24"/>
          <w:szCs w:val="24"/>
          <w:highlight w:val="none"/>
        </w:rPr>
      </w:pPr>
    </w:p>
    <w:p>
      <w:pPr>
        <w:autoSpaceDN w:val="0"/>
        <w:spacing w:line="360" w:lineRule="auto"/>
        <w:jc w:val="center"/>
        <w:rPr>
          <w:rFonts w:ascii="宋体" w:hAnsi="宋体"/>
          <w:b/>
          <w:color w:val="auto"/>
          <w:sz w:val="28"/>
          <w:szCs w:val="28"/>
          <w:highlight w:val="none"/>
        </w:rPr>
      </w:pPr>
      <w:r>
        <w:rPr>
          <w:rStyle w:val="23"/>
          <w:rFonts w:hint="eastAsia" w:ascii="宋体" w:hAnsi="宋体"/>
          <w:color w:val="auto"/>
          <w:sz w:val="28"/>
          <w:szCs w:val="28"/>
          <w:highlight w:val="none"/>
        </w:rPr>
        <w:br w:type="page"/>
      </w:r>
      <w:r>
        <w:rPr>
          <w:rStyle w:val="23"/>
          <w:rFonts w:hint="eastAsia" w:ascii="宋体" w:hAnsi="宋体"/>
          <w:color w:val="auto"/>
          <w:sz w:val="28"/>
          <w:szCs w:val="28"/>
          <w:highlight w:val="none"/>
        </w:rPr>
        <w:t>福建农林大学网上竞价（服务类）</w:t>
      </w:r>
      <w:r>
        <w:rPr>
          <w:rStyle w:val="23"/>
          <w:rFonts w:ascii="宋体" w:hAnsi="宋体"/>
          <w:color w:val="auto"/>
          <w:sz w:val="28"/>
          <w:szCs w:val="28"/>
          <w:highlight w:val="none"/>
        </w:rPr>
        <w:t>采购合同（参考文本</w:t>
      </w:r>
      <w:r>
        <w:rPr>
          <w:rStyle w:val="23"/>
          <w:rFonts w:hint="eastAsia" w:ascii="宋体" w:hAnsi="宋体"/>
          <w:color w:val="auto"/>
          <w:sz w:val="28"/>
          <w:szCs w:val="28"/>
          <w:highlight w:val="none"/>
        </w:rPr>
        <w:t>2023-01-01版</w:t>
      </w:r>
      <w:r>
        <w:rPr>
          <w:rStyle w:val="23"/>
          <w:rFonts w:ascii="宋体" w:hAnsi="宋体"/>
          <w:color w:val="auto"/>
          <w:sz w:val="28"/>
          <w:szCs w:val="28"/>
          <w:highlight w:val="none"/>
        </w:rPr>
        <w:t>）</w:t>
      </w:r>
    </w:p>
    <w:p>
      <w:pPr>
        <w:autoSpaceDN w:val="0"/>
        <w:spacing w:line="360" w:lineRule="auto"/>
        <w:jc w:val="center"/>
        <w:rPr>
          <w:rStyle w:val="23"/>
          <w:rFonts w:ascii="宋体" w:hAnsi="宋体"/>
          <w:color w:val="auto"/>
          <w:highlight w:val="none"/>
        </w:rPr>
      </w:pPr>
      <w:r>
        <w:rPr>
          <w:rStyle w:val="23"/>
          <w:rFonts w:ascii="宋体" w:hAnsi="宋体"/>
          <w:color w:val="auto"/>
          <w:sz w:val="28"/>
          <w:szCs w:val="28"/>
          <w:highlight w:val="none"/>
        </w:rPr>
        <w:t>编制说明</w:t>
      </w:r>
    </w:p>
    <w:p>
      <w:pPr>
        <w:pStyle w:val="18"/>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1、签订合同应遵守</w:t>
      </w:r>
      <w:r>
        <w:rPr>
          <w:rStyle w:val="23"/>
          <w:rFonts w:hint="eastAsia" w:ascii="宋体" w:hAnsi="宋体"/>
          <w:color w:val="auto"/>
          <w:szCs w:val="24"/>
          <w:highlight w:val="none"/>
        </w:rPr>
        <w:t>《中华人民共和国政府采购法》、《中华人民共和国民法典》</w:t>
      </w:r>
      <w:r>
        <w:rPr>
          <w:rStyle w:val="23"/>
          <w:rFonts w:ascii="宋体" w:hAnsi="宋体"/>
          <w:color w:val="auto"/>
          <w:szCs w:val="24"/>
          <w:highlight w:val="none"/>
        </w:rPr>
        <w:t>。</w:t>
      </w:r>
    </w:p>
    <w:p>
      <w:pPr>
        <w:pStyle w:val="18"/>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2、签订合同时，采购人与</w:t>
      </w:r>
      <w:r>
        <w:rPr>
          <w:rStyle w:val="23"/>
          <w:rFonts w:hint="eastAsia" w:ascii="宋体" w:hAnsi="宋体" w:cs="宋体"/>
          <w:color w:val="auto"/>
          <w:szCs w:val="24"/>
          <w:highlight w:val="none"/>
        </w:rPr>
        <w:t>成交供应商</w:t>
      </w:r>
      <w:r>
        <w:rPr>
          <w:rStyle w:val="23"/>
          <w:rFonts w:ascii="宋体" w:hAnsi="宋体"/>
          <w:color w:val="auto"/>
          <w:szCs w:val="24"/>
          <w:highlight w:val="none"/>
        </w:rPr>
        <w:t>应结合</w:t>
      </w:r>
      <w:r>
        <w:rPr>
          <w:rStyle w:val="23"/>
          <w:rFonts w:hint="eastAsia" w:ascii="宋体" w:hAnsi="宋体"/>
          <w:color w:val="auto"/>
          <w:szCs w:val="24"/>
          <w:highlight w:val="none"/>
        </w:rPr>
        <w:t>竞价文件</w:t>
      </w:r>
      <w:r>
        <w:rPr>
          <w:rStyle w:val="23"/>
          <w:rFonts w:ascii="宋体" w:hAnsi="宋体"/>
          <w:color w:val="auto"/>
          <w:szCs w:val="24"/>
          <w:highlight w:val="none"/>
        </w:rPr>
        <w:t>规定填</w:t>
      </w:r>
      <w:r>
        <w:rPr>
          <w:rStyle w:val="23"/>
          <w:rFonts w:hint="eastAsia" w:ascii="宋体" w:hAnsi="宋体"/>
          <w:color w:val="auto"/>
          <w:szCs w:val="24"/>
          <w:highlight w:val="none"/>
        </w:rPr>
        <w:t>写</w:t>
      </w:r>
      <w:r>
        <w:rPr>
          <w:rStyle w:val="23"/>
          <w:rFonts w:ascii="宋体" w:hAnsi="宋体"/>
          <w:color w:val="auto"/>
          <w:szCs w:val="24"/>
          <w:highlight w:val="none"/>
        </w:rPr>
        <w:t>相应内容。</w:t>
      </w:r>
      <w:r>
        <w:rPr>
          <w:rStyle w:val="23"/>
          <w:rFonts w:hint="eastAsia" w:ascii="宋体" w:hAnsi="宋体"/>
          <w:color w:val="auto"/>
          <w:szCs w:val="24"/>
          <w:highlight w:val="none"/>
        </w:rPr>
        <w:t>竞价文件</w:t>
      </w:r>
      <w:r>
        <w:rPr>
          <w:rStyle w:val="23"/>
          <w:rFonts w:ascii="宋体" w:hAnsi="宋体"/>
          <w:color w:val="auto"/>
          <w:szCs w:val="24"/>
          <w:highlight w:val="none"/>
        </w:rPr>
        <w:t>已有规定的，双方均不得变更或调整；</w:t>
      </w:r>
      <w:r>
        <w:rPr>
          <w:rStyle w:val="23"/>
          <w:rFonts w:hint="eastAsia" w:ascii="宋体" w:hAnsi="宋体"/>
          <w:color w:val="auto"/>
          <w:szCs w:val="24"/>
          <w:highlight w:val="none"/>
        </w:rPr>
        <w:t>竞价文件</w:t>
      </w:r>
      <w:r>
        <w:rPr>
          <w:rStyle w:val="23"/>
          <w:rFonts w:ascii="宋体" w:hAnsi="宋体"/>
          <w:color w:val="auto"/>
          <w:szCs w:val="24"/>
          <w:highlight w:val="none"/>
        </w:rPr>
        <w:t>未作规定的，双方可通过友好协商进行约定。</w:t>
      </w:r>
    </w:p>
    <w:p>
      <w:pPr>
        <w:pStyle w:val="18"/>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3、国家有关部门</w:t>
      </w:r>
      <w:r>
        <w:rPr>
          <w:rStyle w:val="23"/>
          <w:rFonts w:hint="eastAsia" w:ascii="宋体" w:hAnsi="宋体"/>
          <w:color w:val="auto"/>
          <w:szCs w:val="24"/>
          <w:highlight w:val="none"/>
        </w:rPr>
        <w:t>若</w:t>
      </w:r>
      <w:r>
        <w:rPr>
          <w:rStyle w:val="23"/>
          <w:rFonts w:ascii="宋体" w:hAnsi="宋体"/>
          <w:color w:val="auto"/>
          <w:szCs w:val="24"/>
          <w:highlight w:val="none"/>
        </w:rPr>
        <w:t>对合同有规范文本的，可使用相应合同文本。</w:t>
      </w:r>
    </w:p>
    <w:p>
      <w:pPr>
        <w:pStyle w:val="18"/>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hint="eastAsia" w:ascii="宋体" w:hAnsi="宋体"/>
          <w:color w:val="auto"/>
          <w:szCs w:val="24"/>
          <w:highlight w:val="none"/>
          <w:u w:val="single"/>
        </w:rPr>
        <w:t>福建</w:t>
      </w:r>
      <w:r>
        <w:rPr>
          <w:rFonts w:ascii="宋体" w:hAnsi="宋体"/>
          <w:color w:val="auto"/>
          <w:szCs w:val="24"/>
          <w:highlight w:val="none"/>
          <w:u w:val="single"/>
        </w:rPr>
        <w:t>农林大学</w:t>
      </w:r>
    </w:p>
    <w:p>
      <w:pPr>
        <w:pStyle w:val="18"/>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报价文件</w:t>
      </w:r>
      <w:r>
        <w:rPr>
          <w:rFonts w:ascii="宋体" w:hAnsi="宋体"/>
          <w:color w:val="auto"/>
          <w:szCs w:val="24"/>
          <w:highlight w:val="none"/>
        </w:rPr>
        <w:t>；</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pPr>
        <w:pStyle w:val="18"/>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2、合同标的</w:t>
      </w:r>
    </w:p>
    <w:p>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服务类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789"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1219"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采购标的</w:t>
            </w:r>
          </w:p>
        </w:tc>
        <w:tc>
          <w:tcPr>
            <w:tcW w:w="1219"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服务范围</w:t>
            </w:r>
          </w:p>
        </w:tc>
        <w:tc>
          <w:tcPr>
            <w:tcW w:w="1219"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服务要求</w:t>
            </w:r>
          </w:p>
        </w:tc>
        <w:tc>
          <w:tcPr>
            <w:tcW w:w="1244"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服务时间（单位）</w:t>
            </w:r>
          </w:p>
        </w:tc>
        <w:tc>
          <w:tcPr>
            <w:tcW w:w="1219"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服务标准</w:t>
            </w:r>
          </w:p>
        </w:tc>
        <w:tc>
          <w:tcPr>
            <w:tcW w:w="1268" w:type="dxa"/>
            <w:vAlign w:val="center"/>
          </w:tcPr>
          <w:p>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8"/>
              <w:spacing w:before="0" w:beforeAutospacing="0" w:after="0" w:afterAutospacing="0" w:line="360" w:lineRule="auto"/>
              <w:rPr>
                <w:rFonts w:ascii="宋体" w:hAnsi="宋体" w:cs="宋体"/>
                <w:color w:val="auto"/>
                <w:szCs w:val="24"/>
                <w:highlight w:val="none"/>
              </w:rPr>
            </w:pPr>
          </w:p>
        </w:tc>
        <w:tc>
          <w:tcPr>
            <w:tcW w:w="789" w:type="dxa"/>
          </w:tcPr>
          <w:p>
            <w:pPr>
              <w:pStyle w:val="18"/>
              <w:spacing w:before="0" w:beforeAutospacing="0" w:after="0" w:afterAutospacing="0" w:line="360" w:lineRule="auto"/>
              <w:rPr>
                <w:rFonts w:ascii="宋体" w:hAnsi="宋体" w:cs="宋体"/>
                <w:color w:val="auto"/>
                <w:szCs w:val="24"/>
                <w:highlight w:val="none"/>
              </w:rPr>
            </w:pPr>
          </w:p>
        </w:tc>
        <w:tc>
          <w:tcPr>
            <w:tcW w:w="1219" w:type="dxa"/>
          </w:tcPr>
          <w:p>
            <w:pPr>
              <w:pStyle w:val="18"/>
              <w:spacing w:before="0" w:beforeAutospacing="0" w:after="0" w:afterAutospacing="0" w:line="360" w:lineRule="auto"/>
              <w:rPr>
                <w:rFonts w:ascii="宋体" w:hAnsi="宋体" w:cs="宋体"/>
                <w:color w:val="auto"/>
                <w:szCs w:val="24"/>
                <w:highlight w:val="none"/>
              </w:rPr>
            </w:pPr>
          </w:p>
        </w:tc>
        <w:tc>
          <w:tcPr>
            <w:tcW w:w="1219" w:type="dxa"/>
          </w:tcPr>
          <w:p>
            <w:pPr>
              <w:pStyle w:val="18"/>
              <w:spacing w:before="0" w:beforeAutospacing="0" w:after="0" w:afterAutospacing="0" w:line="360" w:lineRule="auto"/>
              <w:rPr>
                <w:rFonts w:ascii="宋体" w:hAnsi="宋体" w:cs="宋体"/>
                <w:color w:val="auto"/>
                <w:szCs w:val="24"/>
                <w:highlight w:val="none"/>
              </w:rPr>
            </w:pPr>
          </w:p>
        </w:tc>
        <w:tc>
          <w:tcPr>
            <w:tcW w:w="1219" w:type="dxa"/>
          </w:tcPr>
          <w:p>
            <w:pPr>
              <w:pStyle w:val="18"/>
              <w:spacing w:before="0" w:beforeAutospacing="0" w:after="0" w:afterAutospacing="0" w:line="360" w:lineRule="auto"/>
              <w:rPr>
                <w:rFonts w:ascii="宋体" w:hAnsi="宋体" w:cs="宋体"/>
                <w:color w:val="auto"/>
                <w:szCs w:val="24"/>
                <w:highlight w:val="none"/>
              </w:rPr>
            </w:pPr>
          </w:p>
        </w:tc>
        <w:tc>
          <w:tcPr>
            <w:tcW w:w="1244" w:type="dxa"/>
          </w:tcPr>
          <w:p>
            <w:pPr>
              <w:pStyle w:val="18"/>
              <w:spacing w:before="0" w:beforeAutospacing="0" w:after="0" w:afterAutospacing="0" w:line="360" w:lineRule="auto"/>
              <w:rPr>
                <w:rFonts w:ascii="宋体" w:hAnsi="宋体" w:cs="宋体"/>
                <w:color w:val="auto"/>
                <w:szCs w:val="24"/>
                <w:highlight w:val="none"/>
              </w:rPr>
            </w:pPr>
          </w:p>
        </w:tc>
        <w:tc>
          <w:tcPr>
            <w:tcW w:w="1219" w:type="dxa"/>
          </w:tcPr>
          <w:p>
            <w:pPr>
              <w:pStyle w:val="18"/>
              <w:spacing w:before="0" w:beforeAutospacing="0" w:after="0" w:afterAutospacing="0" w:line="360" w:lineRule="auto"/>
              <w:rPr>
                <w:rFonts w:ascii="宋体" w:hAnsi="宋体" w:cs="宋体"/>
                <w:color w:val="auto"/>
                <w:szCs w:val="24"/>
                <w:highlight w:val="none"/>
              </w:rPr>
            </w:pPr>
          </w:p>
        </w:tc>
        <w:tc>
          <w:tcPr>
            <w:tcW w:w="1268" w:type="dxa"/>
          </w:tcPr>
          <w:p>
            <w:pPr>
              <w:pStyle w:val="18"/>
              <w:spacing w:before="0" w:beforeAutospacing="0" w:after="0" w:afterAutospacing="0" w:line="360" w:lineRule="auto"/>
              <w:rPr>
                <w:rFonts w:ascii="宋体" w:hAnsi="宋体" w:cs="宋体"/>
                <w:color w:val="auto"/>
                <w:szCs w:val="24"/>
                <w:highlight w:val="none"/>
              </w:rPr>
            </w:pPr>
          </w:p>
        </w:tc>
      </w:tr>
    </w:tbl>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pPr>
        <w:pStyle w:val="18"/>
        <w:spacing w:before="0" w:beforeAutospacing="0" w:after="0" w:afterAutospacing="0" w:line="360" w:lineRule="auto"/>
        <w:ind w:firstLine="480"/>
        <w:rPr>
          <w:rFonts w:ascii="宋体" w:hAnsi="宋体"/>
          <w:color w:val="auto"/>
          <w:szCs w:val="24"/>
          <w:highlight w:val="none"/>
          <w:u w:val="single"/>
        </w:rPr>
      </w:pPr>
      <w:r>
        <w:rPr>
          <w:rFonts w:ascii="宋体" w:hAnsi="宋体"/>
          <w:color w:val="auto"/>
          <w:szCs w:val="24"/>
          <w:highlight w:val="none"/>
        </w:rPr>
        <w:t>3.1合同总金额为人民币大写</w:t>
      </w:r>
      <w:r>
        <w:rPr>
          <w:rFonts w:ascii="宋体" w:hAnsi="宋体"/>
          <w:color w:val="auto"/>
          <w:szCs w:val="24"/>
          <w:highlight w:val="none"/>
          <w:u w:val="single"/>
        </w:rPr>
        <w:t>：              元（￥              ）。</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4.1交付时间：合同签订后天内完成交交付所提供的服务或交接进场实施服务</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p>
    <w:p>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ascii="宋体" w:hAnsi="宋体"/>
          <w:color w:val="auto"/>
          <w:kern w:val="0"/>
          <w:sz w:val="24"/>
          <w:szCs w:val="24"/>
          <w:highlight w:val="none"/>
        </w:rPr>
        <w:t>按照竞</w:t>
      </w:r>
      <w:r>
        <w:rPr>
          <w:rFonts w:hint="eastAsia" w:ascii="宋体" w:hAnsi="宋体"/>
          <w:color w:val="auto"/>
          <w:kern w:val="0"/>
          <w:sz w:val="24"/>
          <w:szCs w:val="24"/>
          <w:highlight w:val="none"/>
        </w:rPr>
        <w:t>价文件</w:t>
      </w:r>
      <w:r>
        <w:rPr>
          <w:rFonts w:ascii="宋体" w:hAnsi="宋体"/>
          <w:color w:val="auto"/>
          <w:kern w:val="0"/>
          <w:sz w:val="24"/>
          <w:szCs w:val="24"/>
          <w:highlight w:val="none"/>
        </w:rPr>
        <w:t>要求完成服务，经采购人验收合格完成</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5.2其他合同标的内容详见本采购项目相关文件</w:t>
      </w:r>
      <w:r>
        <w:rPr>
          <w:rFonts w:ascii="宋体" w:hAnsi="宋体"/>
          <w:color w:val="auto"/>
          <w:kern w:val="0"/>
          <w:sz w:val="24"/>
          <w:szCs w:val="24"/>
          <w:highlight w:val="none"/>
        </w:rPr>
        <w:t>。</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6.1.1甲方最终用户负责服务的验收。</w:t>
      </w:r>
      <w:r>
        <w:rPr>
          <w:rFonts w:ascii="宋体" w:hAnsi="宋体"/>
          <w:color w:val="auto"/>
          <w:kern w:val="0"/>
          <w:sz w:val="24"/>
          <w:szCs w:val="24"/>
          <w:highlight w:val="none"/>
        </w:rPr>
        <w:t>详见竞价文件、乙方</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6.1.2验收结果经甲乙双方确认后，甲方最终用户在验收</w:t>
      </w:r>
      <w:r>
        <w:rPr>
          <w:rFonts w:ascii="宋体" w:hAnsi="宋体"/>
          <w:color w:val="auto"/>
          <w:kern w:val="0"/>
          <w:sz w:val="24"/>
          <w:szCs w:val="24"/>
          <w:highlight w:val="none"/>
        </w:rPr>
        <w:t>材料</w:t>
      </w:r>
      <w:r>
        <w:rPr>
          <w:rFonts w:hint="eastAsia" w:ascii="宋体" w:hAnsi="宋体"/>
          <w:color w:val="auto"/>
          <w:kern w:val="0"/>
          <w:sz w:val="24"/>
          <w:szCs w:val="24"/>
          <w:highlight w:val="none"/>
        </w:rPr>
        <w:t>上加盖单位公章后，提交相关主管部门备案。</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6.1.3异议期：服务期内甲方对服务有异议的，乙方应在2个工作日内负责整改解决，否则视为乙方根本违约。</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pPr>
        <w:pStyle w:val="18"/>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8"/>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pPr>
              <w:pStyle w:val="18"/>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pPr>
              <w:pStyle w:val="18"/>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8"/>
              <w:spacing w:before="0" w:beforeAutospacing="0" w:after="0" w:afterAutospacing="0" w:line="360" w:lineRule="auto"/>
              <w:rPr>
                <w:rFonts w:ascii="宋体" w:hAnsi="宋体"/>
                <w:color w:val="auto"/>
                <w:szCs w:val="24"/>
                <w:highlight w:val="none"/>
              </w:rPr>
            </w:pPr>
          </w:p>
        </w:tc>
        <w:tc>
          <w:tcPr>
            <w:tcW w:w="3686" w:type="dxa"/>
          </w:tcPr>
          <w:p>
            <w:pPr>
              <w:pStyle w:val="18"/>
              <w:spacing w:before="0" w:beforeAutospacing="0" w:after="0" w:afterAutospacing="0" w:line="360" w:lineRule="auto"/>
              <w:rPr>
                <w:rFonts w:ascii="宋体" w:hAnsi="宋体"/>
                <w:color w:val="auto"/>
                <w:szCs w:val="24"/>
                <w:highlight w:val="none"/>
              </w:rPr>
            </w:pPr>
          </w:p>
        </w:tc>
        <w:tc>
          <w:tcPr>
            <w:tcW w:w="5521" w:type="dxa"/>
          </w:tcPr>
          <w:p>
            <w:pPr>
              <w:widowControl/>
              <w:spacing w:line="360" w:lineRule="auto"/>
              <w:jc w:val="left"/>
              <w:rPr>
                <w:rFonts w:ascii="宋体" w:hAnsi="宋体"/>
                <w:color w:val="auto"/>
                <w:sz w:val="24"/>
                <w:szCs w:val="22"/>
                <w:highlight w:val="none"/>
              </w:rPr>
            </w:pPr>
            <w:r>
              <w:rPr>
                <w:rFonts w:ascii="宋体" w:hAnsi="宋体"/>
                <w:color w:val="auto"/>
                <w:sz w:val="24"/>
                <w:szCs w:val="22"/>
                <w:highlight w:val="none"/>
              </w:rPr>
              <w:t>按竞价文件及</w:t>
            </w:r>
            <w:r>
              <w:rPr>
                <w:rFonts w:hint="eastAsia" w:ascii="宋体" w:hAnsi="宋体"/>
                <w:color w:val="auto"/>
                <w:sz w:val="24"/>
                <w:szCs w:val="22"/>
                <w:highlight w:val="none"/>
              </w:rPr>
              <w:t>报价文件</w:t>
            </w:r>
            <w:r>
              <w:rPr>
                <w:rFonts w:ascii="宋体" w:hAnsi="宋体"/>
                <w:color w:val="auto"/>
                <w:sz w:val="24"/>
                <w:szCs w:val="22"/>
                <w:highlight w:val="none"/>
              </w:rPr>
              <w:t>要求如实填写</w:t>
            </w:r>
          </w:p>
        </w:tc>
      </w:tr>
    </w:tbl>
    <w:p>
      <w:pPr>
        <w:pStyle w:val="18"/>
        <w:spacing w:before="0" w:beforeAutospacing="0" w:after="0" w:afterAutospacing="0" w:line="360" w:lineRule="auto"/>
        <w:ind w:firstLine="480"/>
        <w:rPr>
          <w:rFonts w:ascii="宋体" w:hAnsi="宋体"/>
          <w:color w:val="auto"/>
          <w:szCs w:val="24"/>
          <w:highlight w:val="none"/>
        </w:rPr>
      </w:pP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w:t>
      </w:r>
      <w:r>
        <w:rPr>
          <w:rFonts w:hint="eastAsia" w:ascii="宋体" w:hAnsi="宋体" w:cs="宋体"/>
          <w:color w:val="auto"/>
          <w:szCs w:val="24"/>
          <w:highlight w:val="none"/>
        </w:rPr>
        <w:t>甲方</w:t>
      </w:r>
      <w:r>
        <w:rPr>
          <w:rFonts w:ascii="宋体" w:hAnsi="宋体" w:cs="宋体"/>
          <w:color w:val="auto"/>
          <w:szCs w:val="24"/>
          <w:highlight w:val="none"/>
        </w:rPr>
        <w:t>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10.4乙方未经甲方同意单方面终止合同的，乙方除了应向甲方赔偿因合同终止导致的损失外，还应向甲方偿付该合同款30%的违约金。</w:t>
      </w:r>
    </w:p>
    <w:p>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10.5</w:t>
      </w:r>
      <w:r>
        <w:rPr>
          <w:rFonts w:ascii="宋体" w:hAnsi="宋体"/>
          <w:color w:val="auto"/>
          <w:szCs w:val="24"/>
          <w:highlight w:val="none"/>
        </w:rPr>
        <w:t>因</w:t>
      </w:r>
      <w:r>
        <w:rPr>
          <w:rFonts w:hint="eastAsia" w:ascii="宋体" w:hAnsi="宋体"/>
          <w:color w:val="auto"/>
          <w:szCs w:val="24"/>
          <w:highlight w:val="none"/>
        </w:rPr>
        <w:t>乙方违约对甲方造成损失的赔偿金</w:t>
      </w:r>
      <w:r>
        <w:rPr>
          <w:rFonts w:ascii="宋体" w:hAnsi="宋体"/>
          <w:color w:val="auto"/>
          <w:szCs w:val="24"/>
          <w:highlight w:val="none"/>
        </w:rPr>
        <w:t>及合同约定的违约金</w:t>
      </w:r>
      <w:r>
        <w:rPr>
          <w:rFonts w:hint="eastAsia" w:ascii="宋体" w:hAnsi="宋体"/>
          <w:color w:val="auto"/>
          <w:szCs w:val="24"/>
          <w:highlight w:val="none"/>
        </w:rPr>
        <w:t>均可由甲方从未支付的合同款或履约保证金中扣除。</w:t>
      </w:r>
    </w:p>
    <w:p>
      <w:pPr>
        <w:pStyle w:val="18"/>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11、知识产权 </w:t>
      </w:r>
    </w:p>
    <w:p>
      <w:pPr>
        <w:pStyle w:val="18"/>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s="宋体"/>
          <w:color w:val="auto"/>
          <w:highlight w:val="none"/>
        </w:rPr>
        <w:t>11.2若乙</w:t>
      </w:r>
      <w:r>
        <w:rPr>
          <w:rFonts w:ascii="宋体" w:hAnsi="宋体"/>
          <w:color w:val="auto"/>
          <w:highlight w:val="none"/>
        </w:rPr>
        <w:t>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14.1服务期限及主要内容：</w:t>
      </w:r>
      <w:r>
        <w:rPr>
          <w:rFonts w:ascii="宋体" w:hAnsi="宋体"/>
          <w:color w:val="auto"/>
          <w:szCs w:val="24"/>
          <w:highlight w:val="none"/>
        </w:rPr>
        <w:t>详见竞价文件、乙方</w:t>
      </w:r>
      <w:r>
        <w:rPr>
          <w:rFonts w:hint="eastAsia" w:ascii="宋体" w:hAnsi="宋体"/>
          <w:color w:val="auto"/>
          <w:szCs w:val="24"/>
          <w:highlight w:val="none"/>
        </w:rPr>
        <w:t>报价文件</w:t>
      </w:r>
      <w:r>
        <w:rPr>
          <w:rFonts w:ascii="宋体" w:hAnsi="宋体"/>
          <w:color w:val="auto"/>
          <w:szCs w:val="24"/>
          <w:highlight w:val="none"/>
        </w:rPr>
        <w:t>，竞价文件已有规定的，双方均不得对规定进行变更或调整；竞价文件未作规定的，双方可通过友好协商进行约定。</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pPr>
        <w:pStyle w:val="18"/>
        <w:spacing w:before="0" w:beforeAutospacing="0" w:after="0" w:afterAutospacing="0" w:line="360" w:lineRule="auto"/>
        <w:rPr>
          <w:rFonts w:ascii="宋体" w:hAnsi="宋体" w:cs="宋体"/>
          <w:color w:val="auto"/>
          <w:szCs w:val="24"/>
          <w:highlight w:val="none"/>
        </w:rPr>
      </w:pPr>
    </w:p>
    <w:p>
      <w:pPr>
        <w:pStyle w:val="18"/>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pPr>
        <w:pStyle w:val="18"/>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pPr>
        <w:pStyle w:val="18"/>
        <w:spacing w:before="0" w:beforeAutospacing="0" w:after="0" w:afterAutospacing="0" w:line="360" w:lineRule="auto"/>
        <w:rPr>
          <w:rFonts w:ascii="宋体" w:hAnsi="宋体"/>
          <w:color w:val="auto"/>
          <w:szCs w:val="24"/>
          <w:highlight w:val="none"/>
        </w:rPr>
      </w:pPr>
    </w:p>
    <w:p>
      <w:pPr>
        <w:pStyle w:val="18"/>
        <w:spacing w:before="0" w:beforeAutospacing="0" w:after="0" w:afterAutospacing="0" w:line="360" w:lineRule="auto"/>
        <w:rPr>
          <w:rFonts w:ascii="宋体" w:hAnsi="宋体"/>
          <w:color w:val="auto"/>
          <w:szCs w:val="24"/>
          <w:highlight w:val="none"/>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3"/>
          <w:rFonts w:ascii="宋体" w:hAnsi="宋体"/>
          <w:color w:val="auto"/>
          <w:sz w:val="28"/>
          <w:szCs w:val="28"/>
          <w:highlight w:val="none"/>
        </w:rPr>
        <w:t>（参考文本</w:t>
      </w:r>
      <w:r>
        <w:rPr>
          <w:rStyle w:val="23"/>
          <w:rFonts w:hint="eastAsia" w:ascii="宋体" w:hAnsi="宋体"/>
          <w:color w:val="auto"/>
          <w:sz w:val="28"/>
          <w:szCs w:val="28"/>
          <w:highlight w:val="none"/>
        </w:rPr>
        <w:t>2023-01-01版</w:t>
      </w:r>
      <w:r>
        <w:rPr>
          <w:rStyle w:val="23"/>
          <w:rFonts w:ascii="宋体" w:hAnsi="宋体"/>
          <w:color w:val="auto"/>
          <w:sz w:val="28"/>
          <w:szCs w:val="28"/>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bCs/>
          <w:color w:val="auto"/>
          <w:sz w:val="24"/>
          <w:szCs w:val="24"/>
          <w:highlight w:val="none"/>
        </w:rPr>
      </w:pPr>
      <w:r>
        <w:rPr>
          <w:rFonts w:hint="eastAsia" w:ascii="宋体" w:hAnsi="宋体"/>
          <w:color w:val="auto"/>
          <w:sz w:val="24"/>
          <w:szCs w:val="24"/>
          <w:highlight w:val="none"/>
        </w:rPr>
        <w:t xml:space="preserve">项目编号：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pPr>
        <w:keepNext w:val="0"/>
        <w:keepLines w:val="0"/>
        <w:pageBreakBefore w:val="0"/>
        <w:kinsoku/>
        <w:wordWrap/>
        <w:overflowPunct/>
        <w:topLinePunct w:val="0"/>
        <w:autoSpaceDE/>
        <w:autoSpaceDN/>
        <w:bidi w:val="0"/>
        <w:adjustRightInd/>
        <w:snapToGrid/>
        <w:spacing w:line="440" w:lineRule="exact"/>
        <w:ind w:left="-105" w:leftChars="-50" w:right="460" w:rightChars="219"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p>
        </w:tc>
        <w:tc>
          <w:tcPr>
            <w:tcW w:w="993" w:type="dxa"/>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p>
        </w:tc>
        <w:tc>
          <w:tcPr>
            <w:tcW w:w="1680"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b/>
                <w:color w:val="auto"/>
                <w:sz w:val="24"/>
                <w:szCs w:val="24"/>
                <w:highlight w:val="none"/>
              </w:rPr>
            </w:pPr>
          </w:p>
        </w:tc>
        <w:tc>
          <w:tcPr>
            <w:tcW w:w="1050" w:type="dxa"/>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p>
        </w:tc>
        <w:tc>
          <w:tcPr>
            <w:tcW w:w="840" w:type="dxa"/>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p>
        </w:tc>
        <w:tc>
          <w:tcPr>
            <w:tcW w:w="840" w:type="dxa"/>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p>
        </w:tc>
        <w:tc>
          <w:tcPr>
            <w:tcW w:w="2100" w:type="dxa"/>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p>
        </w:tc>
        <w:tc>
          <w:tcPr>
            <w:tcW w:w="993" w:type="dxa"/>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p>
        </w:tc>
        <w:tc>
          <w:tcPr>
            <w:tcW w:w="1680"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b/>
                <w:color w:val="auto"/>
                <w:sz w:val="24"/>
                <w:szCs w:val="24"/>
                <w:highlight w:val="none"/>
              </w:rPr>
            </w:pPr>
          </w:p>
        </w:tc>
        <w:tc>
          <w:tcPr>
            <w:tcW w:w="1050" w:type="dxa"/>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p>
        </w:tc>
        <w:tc>
          <w:tcPr>
            <w:tcW w:w="840" w:type="dxa"/>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p>
        </w:tc>
        <w:tc>
          <w:tcPr>
            <w:tcW w:w="840" w:type="dxa"/>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p>
        </w:tc>
        <w:tc>
          <w:tcPr>
            <w:tcW w:w="2100" w:type="dxa"/>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keepNext w:val="0"/>
        <w:keepLines w:val="0"/>
        <w:pageBreakBefore w:val="0"/>
        <w:kinsoku/>
        <w:wordWrap/>
        <w:overflowPunct/>
        <w:topLinePunct w:val="0"/>
        <w:autoSpaceDE/>
        <w:autoSpaceDN/>
        <w:bidi w:val="0"/>
        <w:adjustRightInd/>
        <w:snapToGrid/>
        <w:spacing w:line="440" w:lineRule="exact"/>
        <w:ind w:firstLine="439" w:firstLineChars="183"/>
        <w:textAlignment w:val="auto"/>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ind w:firstLine="439" w:firstLineChars="183"/>
        <w:textAlignment w:val="auto"/>
        <w:rPr>
          <w:rFonts w:ascii="宋体" w:hAnsi="宋体"/>
          <w:color w:val="auto"/>
          <w:sz w:val="24"/>
          <w:szCs w:val="24"/>
          <w:highlight w:val="none"/>
        </w:rPr>
      </w:pPr>
      <w:r>
        <w:rPr>
          <w:rFonts w:hint="eastAsia" w:ascii="宋体" w:hAnsi="宋体"/>
          <w:color w:val="auto"/>
          <w:sz w:val="24"/>
          <w:szCs w:val="24"/>
          <w:highlight w:val="none"/>
        </w:rPr>
        <w:t>四、合同其它内容保持不变。</w:t>
      </w:r>
    </w:p>
    <w:p>
      <w:pPr>
        <w:keepNext w:val="0"/>
        <w:keepLines w:val="0"/>
        <w:pageBreakBefore w:val="0"/>
        <w:kinsoku/>
        <w:wordWrap/>
        <w:overflowPunct/>
        <w:topLinePunct w:val="0"/>
        <w:autoSpaceDE/>
        <w:autoSpaceDN/>
        <w:bidi w:val="0"/>
        <w:adjustRightInd/>
        <w:snapToGrid/>
        <w:spacing w:line="440" w:lineRule="exact"/>
        <w:ind w:firstLine="439" w:firstLineChars="183"/>
        <w:textAlignment w:val="auto"/>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pPr>
        <w:pStyle w:val="18"/>
        <w:keepNext w:val="0"/>
        <w:keepLines w:val="0"/>
        <w:pageBreakBefore w:val="0"/>
        <w:kinsoku/>
        <w:wordWrap/>
        <w:overflowPunct/>
        <w:topLinePunct w:val="0"/>
        <w:autoSpaceDE/>
        <w:autoSpaceDN/>
        <w:bidi w:val="0"/>
        <w:adjustRightInd/>
        <w:snapToGrid/>
        <w:spacing w:before="75" w:after="75" w:line="440" w:lineRule="exact"/>
        <w:ind w:firstLine="480"/>
        <w:textAlignment w:val="auto"/>
        <w:rPr>
          <w:rFonts w:ascii="宋体" w:hAnsi="宋体"/>
          <w:color w:val="auto"/>
          <w:szCs w:val="24"/>
          <w:highlight w:val="none"/>
        </w:rPr>
      </w:pPr>
      <w:r>
        <w:rPr>
          <w:rFonts w:hint="eastAsia" w:ascii="宋体" w:hAnsi="宋体"/>
          <w:color w:val="auto"/>
          <w:szCs w:val="24"/>
          <w:highlight w:val="none"/>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pPr>
        <w:jc w:val="center"/>
        <w:rPr>
          <w:rFonts w:ascii="宋体" w:hAnsi="宋体"/>
          <w:b/>
          <w:color w:val="auto"/>
          <w:sz w:val="32"/>
          <w:highlight w:val="none"/>
        </w:rPr>
      </w:pPr>
      <w:r>
        <w:rPr>
          <w:rFonts w:ascii="宋体" w:hAnsi="宋体"/>
          <w:color w:val="auto"/>
          <w:szCs w:val="24"/>
          <w:highlight w:val="none"/>
        </w:rPr>
        <w:t>     </w:t>
      </w:r>
      <w:r>
        <w:rPr>
          <w:rFonts w:hint="eastAsia" w:ascii="宋体" w:hAnsi="宋体"/>
          <w:b/>
          <w:color w:val="auto"/>
          <w:sz w:val="32"/>
          <w:highlight w:val="none"/>
        </w:rPr>
        <w:t>福建农林大学物资设备验收单（版本：V</w:t>
      </w:r>
      <w:r>
        <w:rPr>
          <w:rFonts w:ascii="宋体" w:hAnsi="宋体"/>
          <w:b/>
          <w:color w:val="auto"/>
          <w:sz w:val="32"/>
          <w:highlight w:val="none"/>
        </w:rPr>
        <w:t>8</w:t>
      </w:r>
      <w:r>
        <w:rPr>
          <w:rFonts w:hint="eastAsia" w:ascii="宋体" w:hAnsi="宋体"/>
          <w:b/>
          <w:color w:val="auto"/>
          <w:sz w:val="32"/>
          <w:highlight w:val="none"/>
        </w:rPr>
        <w:t>）</w:t>
      </w:r>
    </w:p>
    <w:tbl>
      <w:tblPr>
        <w:tblStyle w:val="20"/>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7"/>
        <w:gridCol w:w="201"/>
        <w:gridCol w:w="1012"/>
        <w:gridCol w:w="1504"/>
        <w:gridCol w:w="1930"/>
        <w:gridCol w:w="886"/>
        <w:gridCol w:w="501"/>
        <w:gridCol w:w="87"/>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项目编号</w:t>
            </w:r>
          </w:p>
        </w:tc>
        <w:tc>
          <w:tcPr>
            <w:tcW w:w="807" w:type="pct"/>
            <w:vAlign w:val="center"/>
          </w:tcPr>
          <w:p>
            <w:pPr>
              <w:spacing w:line="440" w:lineRule="exact"/>
              <w:jc w:val="center"/>
              <w:rPr>
                <w:rFonts w:ascii="宋体" w:hAnsi="宋体"/>
                <w:color w:val="auto"/>
                <w:sz w:val="24"/>
                <w:szCs w:val="24"/>
                <w:highlight w:val="none"/>
              </w:rPr>
            </w:pPr>
          </w:p>
        </w:tc>
        <w:tc>
          <w:tcPr>
            <w:tcW w:w="1036"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合同签订日期</w:t>
            </w:r>
          </w:p>
        </w:tc>
        <w:tc>
          <w:tcPr>
            <w:tcW w:w="475" w:type="pct"/>
            <w:vAlign w:val="center"/>
          </w:tcPr>
          <w:p>
            <w:pPr>
              <w:spacing w:line="440" w:lineRule="exact"/>
              <w:jc w:val="center"/>
              <w:rPr>
                <w:rFonts w:ascii="宋体" w:hAnsi="宋体"/>
                <w:color w:val="auto"/>
                <w:sz w:val="24"/>
                <w:szCs w:val="24"/>
                <w:highlight w:val="none"/>
              </w:rPr>
            </w:pPr>
          </w:p>
        </w:tc>
        <w:tc>
          <w:tcPr>
            <w:tcW w:w="736"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提交校</w:t>
            </w:r>
            <w:r>
              <w:rPr>
                <w:rFonts w:ascii="宋体" w:hAnsi="宋体"/>
                <w:color w:val="auto"/>
                <w:sz w:val="24"/>
                <w:szCs w:val="24"/>
                <w:highlight w:val="none"/>
              </w:rPr>
              <w:t>级</w:t>
            </w:r>
            <w:r>
              <w:rPr>
                <w:rFonts w:hint="eastAsia" w:ascii="宋体" w:hAnsi="宋体"/>
                <w:color w:val="auto"/>
                <w:sz w:val="24"/>
                <w:szCs w:val="24"/>
                <w:highlight w:val="none"/>
              </w:rPr>
              <w:t>验收日期</w:t>
            </w:r>
          </w:p>
        </w:tc>
        <w:tc>
          <w:tcPr>
            <w:tcW w:w="1022" w:type="pct"/>
            <w:gridSpan w:val="2"/>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供货</w:t>
            </w:r>
          </w:p>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682"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单位名称</w:t>
            </w:r>
          </w:p>
        </w:tc>
        <w:tc>
          <w:tcPr>
            <w:tcW w:w="1842" w:type="pct"/>
            <w:gridSpan w:val="2"/>
            <w:vAlign w:val="center"/>
          </w:tcPr>
          <w:p>
            <w:pPr>
              <w:spacing w:line="440" w:lineRule="exact"/>
              <w:jc w:val="center"/>
              <w:rPr>
                <w:rFonts w:ascii="宋体" w:hAnsi="宋体"/>
                <w:color w:val="auto"/>
                <w:sz w:val="24"/>
                <w:szCs w:val="24"/>
                <w:highlight w:val="none"/>
              </w:rPr>
            </w:pPr>
          </w:p>
        </w:tc>
        <w:tc>
          <w:tcPr>
            <w:tcW w:w="475" w:type="pct"/>
            <w:vMerge w:val="restart"/>
            <w:tcBorders>
              <w:right w:val="single" w:color="auto" w:sz="4" w:space="0"/>
            </w:tcBorders>
            <w:vAlign w:val="center"/>
          </w:tcPr>
          <w:p>
            <w:pPr>
              <w:spacing w:line="440" w:lineRule="exact"/>
              <w:jc w:val="center"/>
              <w:rPr>
                <w:rFonts w:ascii="宋体" w:hAnsi="宋体"/>
                <w:color w:val="auto"/>
                <w:sz w:val="24"/>
                <w:szCs w:val="24"/>
                <w:highlight w:val="none"/>
              </w:rPr>
            </w:pPr>
          </w:p>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采购</w:t>
            </w:r>
          </w:p>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单位</w:t>
            </w:r>
          </w:p>
          <w:p>
            <w:pPr>
              <w:spacing w:line="440" w:lineRule="exact"/>
              <w:jc w:val="center"/>
              <w:rPr>
                <w:rFonts w:ascii="宋体" w:hAnsi="宋体"/>
                <w:color w:val="auto"/>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部、处、学院</w:t>
            </w:r>
          </w:p>
        </w:tc>
        <w:tc>
          <w:tcPr>
            <w:tcW w:w="1022" w:type="pct"/>
            <w:gridSpan w:val="2"/>
            <w:tcBorders>
              <w:right w:val="single" w:color="auto" w:sz="4" w:space="0"/>
            </w:tcBorders>
            <w:vAlign w:val="center"/>
          </w:tcPr>
          <w:p>
            <w:pPr>
              <w:spacing w:line="44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color w:val="auto"/>
                <w:sz w:val="24"/>
                <w:szCs w:val="24"/>
                <w:highlight w:val="none"/>
              </w:rPr>
            </w:pPr>
          </w:p>
        </w:tc>
        <w:tc>
          <w:tcPr>
            <w:tcW w:w="682"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联系人</w:t>
            </w:r>
          </w:p>
        </w:tc>
        <w:tc>
          <w:tcPr>
            <w:tcW w:w="1842" w:type="pct"/>
            <w:gridSpan w:val="2"/>
            <w:vAlign w:val="center"/>
          </w:tcPr>
          <w:p>
            <w:pPr>
              <w:spacing w:line="440" w:lineRule="exact"/>
              <w:jc w:val="center"/>
              <w:rPr>
                <w:rFonts w:ascii="宋体" w:hAnsi="宋体"/>
                <w:color w:val="auto"/>
                <w:sz w:val="24"/>
                <w:szCs w:val="24"/>
                <w:highlight w:val="none"/>
              </w:rPr>
            </w:pPr>
          </w:p>
        </w:tc>
        <w:tc>
          <w:tcPr>
            <w:tcW w:w="475" w:type="pct"/>
            <w:vMerge w:val="continue"/>
            <w:tcBorders>
              <w:right w:val="single" w:color="auto" w:sz="4" w:space="0"/>
            </w:tcBorders>
            <w:vAlign w:val="center"/>
          </w:tcPr>
          <w:p>
            <w:pPr>
              <w:spacing w:line="440" w:lineRule="exact"/>
              <w:rPr>
                <w:rFonts w:ascii="宋体" w:hAnsi="宋体"/>
                <w:color w:val="auto"/>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联系人</w:t>
            </w:r>
          </w:p>
        </w:tc>
        <w:tc>
          <w:tcPr>
            <w:tcW w:w="1022" w:type="pct"/>
            <w:gridSpan w:val="2"/>
            <w:tcBorders>
              <w:right w:val="single" w:color="auto" w:sz="4" w:space="0"/>
            </w:tcBorders>
            <w:vAlign w:val="center"/>
          </w:tcPr>
          <w:p>
            <w:pPr>
              <w:spacing w:line="44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color w:val="auto"/>
                <w:sz w:val="24"/>
                <w:szCs w:val="24"/>
                <w:highlight w:val="none"/>
              </w:rPr>
            </w:pPr>
          </w:p>
        </w:tc>
        <w:tc>
          <w:tcPr>
            <w:tcW w:w="682"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842" w:type="pct"/>
            <w:gridSpan w:val="2"/>
          </w:tcPr>
          <w:p>
            <w:pPr>
              <w:spacing w:line="440" w:lineRule="exact"/>
              <w:jc w:val="center"/>
              <w:rPr>
                <w:rFonts w:ascii="宋体" w:hAnsi="宋体"/>
                <w:color w:val="auto"/>
                <w:sz w:val="24"/>
                <w:szCs w:val="24"/>
                <w:highlight w:val="none"/>
              </w:rPr>
            </w:pPr>
          </w:p>
        </w:tc>
        <w:tc>
          <w:tcPr>
            <w:tcW w:w="475" w:type="pct"/>
            <w:vMerge w:val="continue"/>
            <w:tcBorders>
              <w:right w:val="single" w:color="auto" w:sz="4" w:space="0"/>
            </w:tcBorders>
          </w:tcPr>
          <w:p>
            <w:pPr>
              <w:spacing w:line="440" w:lineRule="exact"/>
              <w:rPr>
                <w:rFonts w:ascii="宋体" w:hAnsi="宋体"/>
                <w:color w:val="auto"/>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022" w:type="pct"/>
            <w:gridSpan w:val="2"/>
            <w:tcBorders>
              <w:right w:val="single" w:color="auto" w:sz="4" w:space="0"/>
            </w:tcBorders>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序号</w:t>
            </w:r>
          </w:p>
        </w:tc>
        <w:tc>
          <w:tcPr>
            <w:tcW w:w="651"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品名</w:t>
            </w:r>
          </w:p>
        </w:tc>
        <w:tc>
          <w:tcPr>
            <w:tcW w:w="807"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是否免税进口</w:t>
            </w:r>
          </w:p>
        </w:tc>
        <w:tc>
          <w:tcPr>
            <w:tcW w:w="1036"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品牌、型号、规格(配置)</w:t>
            </w:r>
          </w:p>
        </w:tc>
        <w:tc>
          <w:tcPr>
            <w:tcW w:w="791"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存放地点</w:t>
            </w:r>
          </w:p>
        </w:tc>
        <w:tc>
          <w:tcPr>
            <w:tcW w:w="419"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464"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558"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color w:val="auto"/>
                <w:sz w:val="24"/>
                <w:szCs w:val="24"/>
                <w:highlight w:val="none"/>
              </w:rPr>
            </w:pPr>
          </w:p>
        </w:tc>
        <w:tc>
          <w:tcPr>
            <w:tcW w:w="651" w:type="pct"/>
            <w:gridSpan w:val="2"/>
            <w:vAlign w:val="center"/>
          </w:tcPr>
          <w:p>
            <w:pPr>
              <w:spacing w:line="440" w:lineRule="exact"/>
              <w:ind w:left="1151" w:leftChars="548"/>
              <w:rPr>
                <w:rFonts w:ascii="宋体" w:hAnsi="宋体"/>
                <w:color w:val="auto"/>
                <w:sz w:val="24"/>
                <w:szCs w:val="24"/>
                <w:highlight w:val="none"/>
              </w:rPr>
            </w:pPr>
          </w:p>
        </w:tc>
        <w:tc>
          <w:tcPr>
            <w:tcW w:w="807" w:type="pct"/>
            <w:vAlign w:val="center"/>
          </w:tcPr>
          <w:p>
            <w:pPr>
              <w:spacing w:line="440" w:lineRule="exact"/>
              <w:ind w:left="1151" w:leftChars="548"/>
              <w:rPr>
                <w:rFonts w:ascii="宋体" w:hAnsi="宋体"/>
                <w:color w:val="auto"/>
                <w:sz w:val="24"/>
                <w:szCs w:val="24"/>
                <w:highlight w:val="none"/>
              </w:rPr>
            </w:pPr>
          </w:p>
        </w:tc>
        <w:tc>
          <w:tcPr>
            <w:tcW w:w="1036" w:type="pct"/>
            <w:vAlign w:val="center"/>
          </w:tcPr>
          <w:p>
            <w:pPr>
              <w:spacing w:line="440" w:lineRule="exact"/>
              <w:ind w:left="1151" w:leftChars="548"/>
              <w:rPr>
                <w:rFonts w:ascii="宋体" w:hAnsi="宋体"/>
                <w:color w:val="auto"/>
                <w:sz w:val="24"/>
                <w:szCs w:val="24"/>
                <w:highlight w:val="none"/>
              </w:rPr>
            </w:pPr>
          </w:p>
        </w:tc>
        <w:tc>
          <w:tcPr>
            <w:tcW w:w="791" w:type="pct"/>
            <w:gridSpan w:val="3"/>
            <w:vAlign w:val="center"/>
          </w:tcPr>
          <w:p>
            <w:pPr>
              <w:spacing w:line="440" w:lineRule="exact"/>
              <w:ind w:left="1151" w:leftChars="548"/>
              <w:rPr>
                <w:rFonts w:ascii="宋体" w:hAnsi="宋体"/>
                <w:color w:val="auto"/>
                <w:sz w:val="24"/>
                <w:szCs w:val="24"/>
                <w:highlight w:val="none"/>
              </w:rPr>
            </w:pPr>
          </w:p>
        </w:tc>
        <w:tc>
          <w:tcPr>
            <w:tcW w:w="419" w:type="pct"/>
          </w:tcPr>
          <w:p>
            <w:pPr>
              <w:spacing w:line="440" w:lineRule="exact"/>
              <w:rPr>
                <w:rFonts w:ascii="宋体" w:hAnsi="宋体"/>
                <w:color w:val="auto"/>
                <w:sz w:val="24"/>
                <w:szCs w:val="24"/>
                <w:highlight w:val="none"/>
              </w:rPr>
            </w:pPr>
          </w:p>
        </w:tc>
        <w:tc>
          <w:tcPr>
            <w:tcW w:w="464" w:type="pct"/>
          </w:tcPr>
          <w:p>
            <w:pPr>
              <w:spacing w:line="440" w:lineRule="exact"/>
              <w:rPr>
                <w:rFonts w:ascii="宋体" w:hAnsi="宋体"/>
                <w:color w:val="auto"/>
                <w:sz w:val="24"/>
                <w:szCs w:val="24"/>
                <w:highlight w:val="none"/>
              </w:rPr>
            </w:pPr>
          </w:p>
        </w:tc>
        <w:tc>
          <w:tcPr>
            <w:tcW w:w="558" w:type="pct"/>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color w:val="auto"/>
                <w:sz w:val="24"/>
                <w:szCs w:val="24"/>
                <w:highlight w:val="none"/>
              </w:rPr>
            </w:pPr>
          </w:p>
        </w:tc>
        <w:tc>
          <w:tcPr>
            <w:tcW w:w="651" w:type="pct"/>
            <w:gridSpan w:val="2"/>
            <w:vAlign w:val="center"/>
          </w:tcPr>
          <w:p>
            <w:pPr>
              <w:spacing w:line="440" w:lineRule="exact"/>
              <w:ind w:left="1151" w:leftChars="548"/>
              <w:rPr>
                <w:rFonts w:ascii="宋体" w:hAnsi="宋体"/>
                <w:color w:val="auto"/>
                <w:sz w:val="24"/>
                <w:szCs w:val="24"/>
                <w:highlight w:val="none"/>
              </w:rPr>
            </w:pPr>
          </w:p>
        </w:tc>
        <w:tc>
          <w:tcPr>
            <w:tcW w:w="807" w:type="pct"/>
            <w:vAlign w:val="center"/>
          </w:tcPr>
          <w:p>
            <w:pPr>
              <w:spacing w:line="440" w:lineRule="exact"/>
              <w:ind w:left="1151" w:leftChars="548"/>
              <w:rPr>
                <w:rFonts w:ascii="宋体" w:hAnsi="宋体"/>
                <w:color w:val="auto"/>
                <w:sz w:val="24"/>
                <w:szCs w:val="24"/>
                <w:highlight w:val="none"/>
              </w:rPr>
            </w:pPr>
          </w:p>
        </w:tc>
        <w:tc>
          <w:tcPr>
            <w:tcW w:w="1036" w:type="pct"/>
            <w:vAlign w:val="center"/>
          </w:tcPr>
          <w:p>
            <w:pPr>
              <w:spacing w:line="440" w:lineRule="exact"/>
              <w:ind w:left="1151" w:leftChars="548"/>
              <w:rPr>
                <w:rFonts w:ascii="宋体" w:hAnsi="宋体"/>
                <w:color w:val="auto"/>
                <w:sz w:val="24"/>
                <w:szCs w:val="24"/>
                <w:highlight w:val="none"/>
              </w:rPr>
            </w:pPr>
          </w:p>
        </w:tc>
        <w:tc>
          <w:tcPr>
            <w:tcW w:w="791" w:type="pct"/>
            <w:gridSpan w:val="3"/>
            <w:vAlign w:val="center"/>
          </w:tcPr>
          <w:p>
            <w:pPr>
              <w:spacing w:line="440" w:lineRule="exact"/>
              <w:ind w:left="1151" w:leftChars="548"/>
              <w:rPr>
                <w:rFonts w:ascii="宋体" w:hAnsi="宋体"/>
                <w:color w:val="auto"/>
                <w:sz w:val="24"/>
                <w:szCs w:val="24"/>
                <w:highlight w:val="none"/>
              </w:rPr>
            </w:pPr>
          </w:p>
        </w:tc>
        <w:tc>
          <w:tcPr>
            <w:tcW w:w="419" w:type="pct"/>
          </w:tcPr>
          <w:p>
            <w:pPr>
              <w:spacing w:line="440" w:lineRule="exact"/>
              <w:rPr>
                <w:rFonts w:ascii="宋体" w:hAnsi="宋体"/>
                <w:color w:val="auto"/>
                <w:sz w:val="24"/>
                <w:szCs w:val="24"/>
                <w:highlight w:val="none"/>
              </w:rPr>
            </w:pPr>
          </w:p>
        </w:tc>
        <w:tc>
          <w:tcPr>
            <w:tcW w:w="464" w:type="pct"/>
          </w:tcPr>
          <w:p>
            <w:pPr>
              <w:spacing w:line="440" w:lineRule="exact"/>
              <w:rPr>
                <w:rFonts w:ascii="宋体" w:hAnsi="宋体"/>
                <w:color w:val="auto"/>
                <w:sz w:val="24"/>
                <w:szCs w:val="24"/>
                <w:highlight w:val="none"/>
              </w:rPr>
            </w:pPr>
          </w:p>
        </w:tc>
        <w:tc>
          <w:tcPr>
            <w:tcW w:w="558" w:type="pct"/>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color w:val="auto"/>
                <w:sz w:val="24"/>
                <w:szCs w:val="24"/>
                <w:highlight w:val="none"/>
              </w:rPr>
            </w:pPr>
          </w:p>
        </w:tc>
        <w:tc>
          <w:tcPr>
            <w:tcW w:w="651" w:type="pct"/>
            <w:gridSpan w:val="2"/>
            <w:vAlign w:val="center"/>
          </w:tcPr>
          <w:p>
            <w:pPr>
              <w:spacing w:line="440" w:lineRule="exact"/>
              <w:ind w:left="1151" w:leftChars="548"/>
              <w:rPr>
                <w:rFonts w:ascii="宋体" w:hAnsi="宋体"/>
                <w:color w:val="auto"/>
                <w:sz w:val="24"/>
                <w:szCs w:val="24"/>
                <w:highlight w:val="none"/>
              </w:rPr>
            </w:pPr>
          </w:p>
        </w:tc>
        <w:tc>
          <w:tcPr>
            <w:tcW w:w="807" w:type="pct"/>
            <w:vAlign w:val="center"/>
          </w:tcPr>
          <w:p>
            <w:pPr>
              <w:spacing w:line="440" w:lineRule="exact"/>
              <w:ind w:left="1151" w:leftChars="548"/>
              <w:rPr>
                <w:rFonts w:ascii="宋体" w:hAnsi="宋体"/>
                <w:color w:val="auto"/>
                <w:sz w:val="24"/>
                <w:szCs w:val="24"/>
                <w:highlight w:val="none"/>
              </w:rPr>
            </w:pPr>
          </w:p>
        </w:tc>
        <w:tc>
          <w:tcPr>
            <w:tcW w:w="1036" w:type="pct"/>
            <w:vAlign w:val="center"/>
          </w:tcPr>
          <w:p>
            <w:pPr>
              <w:spacing w:line="440" w:lineRule="exact"/>
              <w:ind w:left="1151" w:leftChars="548"/>
              <w:rPr>
                <w:rFonts w:ascii="宋体" w:hAnsi="宋体"/>
                <w:color w:val="auto"/>
                <w:sz w:val="24"/>
                <w:szCs w:val="24"/>
                <w:highlight w:val="none"/>
              </w:rPr>
            </w:pPr>
          </w:p>
        </w:tc>
        <w:tc>
          <w:tcPr>
            <w:tcW w:w="791" w:type="pct"/>
            <w:gridSpan w:val="3"/>
            <w:vAlign w:val="center"/>
          </w:tcPr>
          <w:p>
            <w:pPr>
              <w:spacing w:line="440" w:lineRule="exact"/>
              <w:ind w:left="1151" w:leftChars="548"/>
              <w:rPr>
                <w:rFonts w:ascii="宋体" w:hAnsi="宋体"/>
                <w:color w:val="auto"/>
                <w:sz w:val="24"/>
                <w:szCs w:val="24"/>
                <w:highlight w:val="none"/>
              </w:rPr>
            </w:pPr>
          </w:p>
        </w:tc>
        <w:tc>
          <w:tcPr>
            <w:tcW w:w="419" w:type="pct"/>
          </w:tcPr>
          <w:p>
            <w:pPr>
              <w:spacing w:line="440" w:lineRule="exact"/>
              <w:rPr>
                <w:rFonts w:ascii="宋体" w:hAnsi="宋体"/>
                <w:color w:val="auto"/>
                <w:sz w:val="24"/>
                <w:szCs w:val="24"/>
                <w:highlight w:val="none"/>
              </w:rPr>
            </w:pPr>
          </w:p>
        </w:tc>
        <w:tc>
          <w:tcPr>
            <w:tcW w:w="464" w:type="pct"/>
          </w:tcPr>
          <w:p>
            <w:pPr>
              <w:spacing w:line="440" w:lineRule="exact"/>
              <w:rPr>
                <w:rFonts w:ascii="宋体" w:hAnsi="宋体"/>
                <w:color w:val="auto"/>
                <w:sz w:val="24"/>
                <w:szCs w:val="24"/>
                <w:highlight w:val="none"/>
              </w:rPr>
            </w:pPr>
          </w:p>
        </w:tc>
        <w:tc>
          <w:tcPr>
            <w:tcW w:w="558" w:type="pct"/>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color w:val="auto"/>
                <w:sz w:val="24"/>
                <w:szCs w:val="24"/>
                <w:highlight w:val="none"/>
              </w:rPr>
            </w:pPr>
          </w:p>
        </w:tc>
        <w:tc>
          <w:tcPr>
            <w:tcW w:w="883"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金额总计</w:t>
            </w:r>
          </w:p>
        </w:tc>
        <w:tc>
          <w:tcPr>
            <w:tcW w:w="558" w:type="pct"/>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安装调试验收</w:t>
            </w:r>
          </w:p>
        </w:tc>
        <w:tc>
          <w:tcPr>
            <w:tcW w:w="1350" w:type="pct"/>
            <w:gridSpan w:val="2"/>
            <w:vAlign w:val="center"/>
          </w:tcPr>
          <w:p>
            <w:pPr>
              <w:spacing w:line="360" w:lineRule="exact"/>
              <w:rPr>
                <w:rFonts w:ascii="宋体" w:hAnsi="宋体"/>
                <w:color w:val="auto"/>
                <w:sz w:val="24"/>
                <w:szCs w:val="24"/>
                <w:highlight w:val="none"/>
              </w:rPr>
            </w:pPr>
            <w:r>
              <w:rPr>
                <w:rFonts w:hint="eastAsia" w:ascii="宋体" w:hAnsi="宋体"/>
                <w:color w:val="auto"/>
                <w:sz w:val="24"/>
                <w:szCs w:val="24"/>
                <w:highlight w:val="none"/>
              </w:rPr>
              <w:t>供货单位</w:t>
            </w:r>
          </w:p>
        </w:tc>
        <w:tc>
          <w:tcPr>
            <w:tcW w:w="1036" w:type="pct"/>
            <w:vAlign w:val="bottom"/>
          </w:tcPr>
          <w:p>
            <w:pPr>
              <w:spacing w:line="360" w:lineRule="exact"/>
              <w:jc w:val="right"/>
              <w:rPr>
                <w:rFonts w:ascii="宋体" w:hAnsi="宋体"/>
                <w:b/>
                <w:color w:val="auto"/>
                <w:sz w:val="24"/>
                <w:szCs w:val="24"/>
                <w:highlight w:val="none"/>
              </w:rPr>
            </w:pPr>
            <w:r>
              <w:rPr>
                <w:rFonts w:hint="eastAsia" w:ascii="宋体" w:hAnsi="宋体"/>
                <w:b/>
                <w:color w:val="auto"/>
                <w:sz w:val="24"/>
                <w:szCs w:val="24"/>
                <w:highlight w:val="none"/>
              </w:rPr>
              <w:t xml:space="preserve"> (签字并加盖公章)</w:t>
            </w:r>
          </w:p>
        </w:tc>
        <w:tc>
          <w:tcPr>
            <w:tcW w:w="2233" w:type="pct"/>
            <w:gridSpan w:val="6"/>
            <w:vMerge w:val="restart"/>
          </w:tcPr>
          <w:p>
            <w:pPr>
              <w:spacing w:line="360" w:lineRule="exact"/>
              <w:jc w:val="left"/>
              <w:rPr>
                <w:rFonts w:ascii="宋体" w:hAnsi="宋体"/>
                <w:color w:val="auto"/>
                <w:sz w:val="24"/>
                <w:szCs w:val="24"/>
                <w:highlight w:val="none"/>
              </w:rPr>
            </w:pPr>
            <w:r>
              <w:rPr>
                <w:rFonts w:hint="eastAsia" w:ascii="宋体" w:hAnsi="宋体"/>
                <w:color w:val="auto"/>
                <w:sz w:val="24"/>
                <w:szCs w:val="24"/>
                <w:highlight w:val="none"/>
              </w:rPr>
              <w:t>包装、外观</w:t>
            </w:r>
            <w:r>
              <w:rPr>
                <w:rFonts w:hint="eastAsia" w:ascii="宋体" w:hAnsi="宋体"/>
                <w:color w:val="auto"/>
                <w:sz w:val="24"/>
                <w:szCs w:val="24"/>
                <w:highlight w:val="none"/>
                <w:u w:val="single"/>
              </w:rPr>
              <w:t>（</w:t>
            </w:r>
            <w:r>
              <w:rPr>
                <w:rFonts w:hint="eastAsia" w:ascii="宋体" w:hAnsi="宋体"/>
                <w:color w:val="auto"/>
                <w:sz w:val="24"/>
                <w:szCs w:val="24"/>
                <w:highlight w:val="none"/>
              </w:rPr>
              <w:t>是、否）完好，数量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是、否）与标书一致，金额</w:t>
            </w:r>
            <w:r>
              <w:rPr>
                <w:rFonts w:hint="eastAsia" w:ascii="宋体" w:hAnsi="宋体"/>
                <w:color w:val="auto"/>
                <w:sz w:val="24"/>
                <w:szCs w:val="24"/>
                <w:highlight w:val="none"/>
                <w:u w:val="single"/>
              </w:rPr>
              <w:t>（</w:t>
            </w:r>
            <w:r>
              <w:rPr>
                <w:rFonts w:hint="eastAsia" w:ascii="宋体" w:hAnsi="宋体"/>
                <w:color w:val="auto"/>
                <w:sz w:val="24"/>
                <w:szCs w:val="24"/>
                <w:highlight w:val="none"/>
              </w:rPr>
              <w:t>是、否）与标书一致，品牌、型号、规格（配置）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是、否）与标书一致，若不一致，须提交相关说明。</w:t>
            </w:r>
          </w:p>
          <w:p>
            <w:pPr>
              <w:spacing w:line="360" w:lineRule="exact"/>
              <w:jc w:val="left"/>
              <w:rPr>
                <w:rFonts w:ascii="宋体" w:hAnsi="宋体"/>
                <w:color w:val="auto"/>
                <w:sz w:val="24"/>
                <w:szCs w:val="24"/>
                <w:highlight w:val="none"/>
              </w:rPr>
            </w:pPr>
            <w:r>
              <w:rPr>
                <w:rFonts w:hint="eastAsia" w:ascii="宋体" w:hAnsi="宋体"/>
                <w:color w:val="auto"/>
                <w:sz w:val="24"/>
                <w:szCs w:val="24"/>
                <w:highlight w:val="none"/>
              </w:rPr>
              <w:t>所附技术资料、说明书、保修卡等材料（是、否）齐全。</w:t>
            </w:r>
          </w:p>
          <w:p>
            <w:pPr>
              <w:spacing w:line="360" w:lineRule="exact"/>
              <w:jc w:val="left"/>
              <w:rPr>
                <w:rFonts w:ascii="宋体" w:hAnsi="宋体"/>
                <w:color w:val="auto"/>
                <w:sz w:val="24"/>
                <w:szCs w:val="24"/>
                <w:highlight w:val="none"/>
              </w:rPr>
            </w:pPr>
            <w:r>
              <w:rPr>
                <w:rFonts w:hint="eastAsia" w:ascii="宋体" w:hAnsi="宋体"/>
                <w:color w:val="auto"/>
                <w:sz w:val="24"/>
                <w:szCs w:val="24"/>
                <w:highlight w:val="none"/>
              </w:rPr>
              <w:t>安装调试运行状况（是、否）正常，安装调试验收（是、否）合格。</w:t>
            </w:r>
          </w:p>
          <w:p>
            <w:pPr>
              <w:spacing w:line="360" w:lineRule="exact"/>
              <w:jc w:val="right"/>
              <w:rPr>
                <w:rFonts w:ascii="宋体" w:hAnsi="宋体"/>
                <w:color w:val="auto"/>
                <w:sz w:val="24"/>
                <w:szCs w:val="24"/>
                <w:highlight w:val="none"/>
              </w:rPr>
            </w:pPr>
            <w:r>
              <w:rPr>
                <w:rFonts w:hint="eastAsia" w:ascii="宋体" w:hAnsi="宋体"/>
                <w:color w:val="auto"/>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Merge w:val="restart"/>
            <w:vAlign w:val="center"/>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实验室或科室或项目经办人、负责</w:t>
            </w:r>
            <w:r>
              <w:rPr>
                <w:rFonts w:ascii="宋体" w:hAnsi="宋体"/>
                <w:color w:val="auto"/>
                <w:sz w:val="24"/>
                <w:szCs w:val="24"/>
                <w:highlight w:val="none"/>
              </w:rPr>
              <w:t>人</w:t>
            </w:r>
            <w:r>
              <w:rPr>
                <w:rFonts w:hint="eastAsia" w:ascii="宋体" w:hAnsi="宋体"/>
                <w:color w:val="auto"/>
                <w:sz w:val="24"/>
                <w:szCs w:val="24"/>
                <w:highlight w:val="none"/>
              </w:rPr>
              <w:t>等（至少2人</w:t>
            </w:r>
            <w:r>
              <w:rPr>
                <w:rFonts w:ascii="宋体" w:hAnsi="宋体"/>
                <w:color w:val="auto"/>
                <w:sz w:val="24"/>
                <w:szCs w:val="24"/>
                <w:highlight w:val="none"/>
              </w:rPr>
              <w:t>）</w:t>
            </w:r>
          </w:p>
          <w:p>
            <w:pPr>
              <w:spacing w:line="440" w:lineRule="exact"/>
              <w:rPr>
                <w:rFonts w:ascii="宋体" w:hAnsi="宋体"/>
                <w:color w:val="auto"/>
                <w:sz w:val="24"/>
                <w:szCs w:val="24"/>
                <w:highlight w:val="none"/>
              </w:rPr>
            </w:pPr>
          </w:p>
        </w:tc>
        <w:tc>
          <w:tcPr>
            <w:tcW w:w="1036" w:type="pct"/>
          </w:tcPr>
          <w:p>
            <w:pPr>
              <w:spacing w:line="440" w:lineRule="exact"/>
              <w:jc w:val="right"/>
              <w:rPr>
                <w:rFonts w:ascii="宋体" w:hAnsi="宋体"/>
                <w:color w:val="auto"/>
                <w:sz w:val="24"/>
                <w:szCs w:val="24"/>
                <w:highlight w:val="none"/>
              </w:rPr>
            </w:pPr>
          </w:p>
        </w:tc>
        <w:tc>
          <w:tcPr>
            <w:tcW w:w="2233" w:type="pct"/>
            <w:gridSpan w:val="6"/>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Merge w:val="continue"/>
            <w:vAlign w:val="center"/>
          </w:tcPr>
          <w:p>
            <w:pPr>
              <w:spacing w:line="440" w:lineRule="exact"/>
              <w:rPr>
                <w:rFonts w:ascii="宋体" w:hAnsi="宋体"/>
                <w:color w:val="auto"/>
                <w:sz w:val="24"/>
                <w:szCs w:val="24"/>
                <w:highlight w:val="none"/>
              </w:rPr>
            </w:pPr>
          </w:p>
        </w:tc>
        <w:tc>
          <w:tcPr>
            <w:tcW w:w="1036" w:type="pct"/>
          </w:tcPr>
          <w:p>
            <w:pPr>
              <w:spacing w:line="440" w:lineRule="exact"/>
              <w:jc w:val="right"/>
              <w:rPr>
                <w:rFonts w:ascii="宋体" w:hAnsi="宋体"/>
                <w:color w:val="auto"/>
                <w:sz w:val="24"/>
                <w:szCs w:val="24"/>
                <w:highlight w:val="none"/>
              </w:rPr>
            </w:pPr>
          </w:p>
        </w:tc>
        <w:tc>
          <w:tcPr>
            <w:tcW w:w="2233" w:type="pct"/>
            <w:gridSpan w:val="6"/>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采购单位验收</w:t>
            </w:r>
          </w:p>
        </w:tc>
        <w:tc>
          <w:tcPr>
            <w:tcW w:w="1350" w:type="pct"/>
            <w:gridSpan w:val="2"/>
            <w:vMerge w:val="restart"/>
            <w:vAlign w:val="center"/>
          </w:tcPr>
          <w:p>
            <w:pPr>
              <w:spacing w:line="360" w:lineRule="exact"/>
              <w:rPr>
                <w:rFonts w:ascii="宋体" w:hAnsi="宋体"/>
                <w:color w:val="auto"/>
                <w:sz w:val="24"/>
                <w:szCs w:val="24"/>
                <w:highlight w:val="none"/>
              </w:rPr>
            </w:pPr>
            <w:r>
              <w:rPr>
                <w:rFonts w:hint="eastAsia" w:ascii="宋体" w:hAnsi="宋体"/>
                <w:color w:val="auto"/>
                <w:sz w:val="24"/>
                <w:szCs w:val="24"/>
                <w:highlight w:val="none"/>
              </w:rPr>
              <w:t>单位负责人、经费负责人、项目</w:t>
            </w:r>
            <w:r>
              <w:rPr>
                <w:rFonts w:ascii="宋体" w:hAnsi="宋体"/>
                <w:color w:val="auto"/>
                <w:sz w:val="24"/>
                <w:szCs w:val="24"/>
                <w:highlight w:val="none"/>
              </w:rPr>
              <w:t>负责人等</w:t>
            </w:r>
            <w:r>
              <w:rPr>
                <w:rFonts w:hint="eastAsia" w:ascii="宋体" w:hAnsi="宋体"/>
                <w:color w:val="auto"/>
                <w:sz w:val="24"/>
                <w:szCs w:val="24"/>
                <w:highlight w:val="none"/>
              </w:rPr>
              <w:t>（</w:t>
            </w:r>
            <w:r>
              <w:rPr>
                <w:rFonts w:ascii="宋体" w:hAnsi="宋体"/>
                <w:color w:val="auto"/>
                <w:sz w:val="24"/>
                <w:szCs w:val="24"/>
                <w:highlight w:val="none"/>
              </w:rPr>
              <w:t>至少</w:t>
            </w:r>
            <w:r>
              <w:rPr>
                <w:rFonts w:hint="eastAsia" w:ascii="宋体" w:hAnsi="宋体"/>
                <w:color w:val="auto"/>
                <w:sz w:val="24"/>
                <w:szCs w:val="24"/>
                <w:highlight w:val="none"/>
              </w:rPr>
              <w:t>3人，</w:t>
            </w:r>
            <w:r>
              <w:rPr>
                <w:rFonts w:ascii="宋体" w:hAnsi="宋体"/>
                <w:color w:val="auto"/>
                <w:sz w:val="24"/>
                <w:szCs w:val="24"/>
                <w:highlight w:val="none"/>
              </w:rPr>
              <w:t>且至少</w:t>
            </w:r>
            <w:r>
              <w:rPr>
                <w:rFonts w:hint="eastAsia" w:ascii="宋体" w:hAnsi="宋体"/>
                <w:color w:val="auto"/>
                <w:sz w:val="24"/>
                <w:szCs w:val="24"/>
                <w:highlight w:val="none"/>
              </w:rPr>
              <w:t>1人</w:t>
            </w:r>
            <w:r>
              <w:rPr>
                <w:rFonts w:ascii="宋体" w:hAnsi="宋体"/>
                <w:color w:val="auto"/>
                <w:sz w:val="24"/>
                <w:szCs w:val="24"/>
                <w:highlight w:val="none"/>
              </w:rPr>
              <w:t>为处级干部</w:t>
            </w:r>
            <w:r>
              <w:rPr>
                <w:rFonts w:hint="eastAsia" w:ascii="宋体" w:hAnsi="宋体"/>
                <w:color w:val="auto"/>
                <w:sz w:val="24"/>
                <w:szCs w:val="24"/>
                <w:highlight w:val="none"/>
              </w:rPr>
              <w:t>）</w:t>
            </w:r>
          </w:p>
          <w:p>
            <w:pPr>
              <w:spacing w:line="360" w:lineRule="exact"/>
              <w:rPr>
                <w:rFonts w:ascii="宋体" w:hAnsi="宋体"/>
                <w:color w:val="auto"/>
                <w:sz w:val="24"/>
                <w:szCs w:val="24"/>
                <w:highlight w:val="none"/>
              </w:rPr>
            </w:pPr>
          </w:p>
        </w:tc>
        <w:tc>
          <w:tcPr>
            <w:tcW w:w="1036" w:type="pct"/>
          </w:tcPr>
          <w:p>
            <w:pPr>
              <w:spacing w:line="360" w:lineRule="exact"/>
              <w:rPr>
                <w:rFonts w:ascii="宋体" w:hAnsi="宋体"/>
                <w:color w:val="auto"/>
                <w:sz w:val="24"/>
                <w:szCs w:val="24"/>
                <w:highlight w:val="none"/>
              </w:rPr>
            </w:pPr>
          </w:p>
        </w:tc>
        <w:tc>
          <w:tcPr>
            <w:tcW w:w="2233" w:type="pct"/>
            <w:gridSpan w:val="6"/>
            <w:vMerge w:val="restart"/>
            <w:vAlign w:val="center"/>
          </w:tcPr>
          <w:p>
            <w:pPr>
              <w:spacing w:line="360" w:lineRule="exact"/>
              <w:rPr>
                <w:rFonts w:ascii="宋体" w:hAnsi="宋体"/>
                <w:color w:val="auto"/>
                <w:sz w:val="24"/>
                <w:szCs w:val="24"/>
                <w:highlight w:val="none"/>
              </w:rPr>
            </w:pPr>
            <w:r>
              <w:rPr>
                <w:rFonts w:hint="eastAsia" w:ascii="宋体" w:hAnsi="宋体"/>
                <w:color w:val="auto"/>
                <w:sz w:val="24"/>
                <w:szCs w:val="24"/>
                <w:highlight w:val="none"/>
              </w:rPr>
              <w:t>设备安装调试后至今使用性能（是、否）正常,运行状况（是、否）正常,验收（是、否）合格。</w:t>
            </w:r>
          </w:p>
          <w:p>
            <w:pPr>
              <w:spacing w:line="360" w:lineRule="exac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
                <w:color w:val="auto"/>
                <w:sz w:val="24"/>
                <w:szCs w:val="24"/>
                <w:highlight w:val="none"/>
              </w:rPr>
              <w:t>采购单位公章</w:t>
            </w:r>
            <w:r>
              <w:rPr>
                <w:rFonts w:hint="eastAsia" w:ascii="宋体" w:hAnsi="宋体"/>
                <w:color w:val="auto"/>
                <w:sz w:val="24"/>
                <w:szCs w:val="24"/>
                <w:highlight w:val="none"/>
              </w:rPr>
              <w:t>）</w:t>
            </w:r>
          </w:p>
          <w:p>
            <w:pPr>
              <w:spacing w:line="360" w:lineRule="exact"/>
              <w:ind w:firstLine="720" w:firstLineChars="300"/>
              <w:rPr>
                <w:rFonts w:ascii="宋体" w:hAnsi="宋体"/>
                <w:color w:val="auto"/>
                <w:sz w:val="24"/>
                <w:szCs w:val="24"/>
                <w:highlight w:val="none"/>
              </w:rPr>
            </w:pPr>
          </w:p>
          <w:p>
            <w:pPr>
              <w:spacing w:line="36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Merge w:val="continue"/>
          </w:tcPr>
          <w:p>
            <w:pPr>
              <w:spacing w:line="440" w:lineRule="exact"/>
              <w:rPr>
                <w:rFonts w:ascii="宋体" w:hAnsi="宋体"/>
                <w:color w:val="auto"/>
                <w:sz w:val="24"/>
                <w:szCs w:val="24"/>
                <w:highlight w:val="none"/>
              </w:rPr>
            </w:pPr>
          </w:p>
        </w:tc>
        <w:tc>
          <w:tcPr>
            <w:tcW w:w="1036" w:type="pct"/>
          </w:tcPr>
          <w:p>
            <w:pPr>
              <w:spacing w:line="440" w:lineRule="exact"/>
              <w:rPr>
                <w:rFonts w:ascii="宋体" w:hAnsi="宋体"/>
                <w:color w:val="auto"/>
                <w:sz w:val="24"/>
                <w:szCs w:val="24"/>
                <w:highlight w:val="none"/>
              </w:rPr>
            </w:pPr>
          </w:p>
        </w:tc>
        <w:tc>
          <w:tcPr>
            <w:tcW w:w="2233" w:type="pct"/>
            <w:gridSpan w:val="6"/>
            <w:vMerge w:val="continue"/>
          </w:tcPr>
          <w:p>
            <w:pPr>
              <w:spacing w:line="44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Merge w:val="continue"/>
          </w:tcPr>
          <w:p>
            <w:pPr>
              <w:spacing w:line="440" w:lineRule="exact"/>
              <w:rPr>
                <w:rFonts w:ascii="宋体" w:hAnsi="宋体"/>
                <w:color w:val="auto"/>
                <w:sz w:val="24"/>
                <w:szCs w:val="24"/>
                <w:highlight w:val="none"/>
              </w:rPr>
            </w:pPr>
          </w:p>
        </w:tc>
        <w:tc>
          <w:tcPr>
            <w:tcW w:w="1036" w:type="pct"/>
          </w:tcPr>
          <w:p>
            <w:pPr>
              <w:spacing w:line="440" w:lineRule="exact"/>
              <w:rPr>
                <w:rFonts w:ascii="宋体" w:hAnsi="宋体"/>
                <w:color w:val="auto"/>
                <w:sz w:val="24"/>
                <w:szCs w:val="24"/>
                <w:highlight w:val="none"/>
              </w:rPr>
            </w:pPr>
          </w:p>
        </w:tc>
        <w:tc>
          <w:tcPr>
            <w:tcW w:w="2233" w:type="pct"/>
            <w:gridSpan w:val="6"/>
            <w:vMerge w:val="continue"/>
          </w:tcPr>
          <w:p>
            <w:pPr>
              <w:spacing w:line="44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校</w:t>
            </w:r>
            <w:r>
              <w:rPr>
                <w:rFonts w:ascii="宋体" w:hAnsi="宋体"/>
                <w:color w:val="auto"/>
                <w:sz w:val="24"/>
                <w:szCs w:val="24"/>
                <w:highlight w:val="none"/>
              </w:rPr>
              <w:t>级验收（</w:t>
            </w:r>
            <w:r>
              <w:rPr>
                <w:rFonts w:hint="eastAsia" w:ascii="宋体" w:hAnsi="宋体" w:cs="仿宋"/>
                <w:color w:val="auto"/>
                <w:sz w:val="24"/>
                <w:szCs w:val="24"/>
                <w:highlight w:val="none"/>
              </w:rPr>
              <w:t>校招标工作领导小组</w:t>
            </w:r>
            <w:r>
              <w:rPr>
                <w:rFonts w:hint="eastAsia" w:ascii="宋体" w:hAnsi="宋体"/>
                <w:color w:val="auto"/>
                <w:sz w:val="24"/>
                <w:szCs w:val="24"/>
                <w:highlight w:val="none"/>
              </w:rPr>
              <w:t>验收）</w:t>
            </w: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校验收专家</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restart"/>
          </w:tcPr>
          <w:p>
            <w:pPr>
              <w:spacing w:line="440" w:lineRule="exact"/>
              <w:jc w:val="left"/>
              <w:rPr>
                <w:rFonts w:ascii="宋体" w:hAnsi="宋体"/>
                <w:color w:val="auto"/>
                <w:sz w:val="24"/>
                <w:szCs w:val="24"/>
                <w:highlight w:val="none"/>
              </w:rPr>
            </w:pPr>
            <w:r>
              <w:rPr>
                <w:rFonts w:hint="eastAsia" w:ascii="宋体" w:hAnsi="宋体"/>
                <w:color w:val="auto"/>
                <w:sz w:val="24"/>
                <w:szCs w:val="24"/>
                <w:highlight w:val="none"/>
              </w:rPr>
              <w:t>验收发现问题及整改要求：</w:t>
            </w: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rPr>
            </w:pPr>
            <w:r>
              <w:rPr>
                <w:rFonts w:hint="eastAsia" w:ascii="宋体" w:hAnsi="宋体"/>
                <w:color w:val="auto"/>
                <w:sz w:val="24"/>
                <w:szCs w:val="24"/>
                <w:highlight w:val="none"/>
              </w:rPr>
              <w:t>整改负责人签字：</w:t>
            </w:r>
          </w:p>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rPr>
            </w:pPr>
            <w:r>
              <w:rPr>
                <w:rFonts w:hint="eastAsia" w:ascii="宋体" w:hAnsi="宋体"/>
                <w:color w:val="auto"/>
                <w:sz w:val="24"/>
                <w:szCs w:val="24"/>
                <w:highlight w:val="none"/>
              </w:rPr>
              <w:t>整改日期： 年  月 日</w:t>
            </w:r>
          </w:p>
        </w:tc>
        <w:tc>
          <w:tcPr>
            <w:tcW w:w="1489" w:type="pct"/>
            <w:gridSpan w:val="4"/>
            <w:vMerge w:val="restart"/>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验收程序（是，否）完整。</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0" t="0" r="28575" b="27940"/>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验收合格</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0" t="0" r="28575" b="27940"/>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验收不合格</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0" t="0" r="28575" b="27940"/>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整改后验收合格</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0" t="0" r="28575" b="27940"/>
                      <wp:wrapNone/>
                      <wp:docPr id="7"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qRZZSoCAACABAAADgAAAGRycy9lMm9Eb2MueG1srVTBjtMw&#10;EL0j8Q+W7zRNaHe7UdPVqlUR0gIrFj7AdZzGwvaYsdt0+XomTlvKgtAeyCHyZMbP770ZZ357sIbt&#10;FQYNruL5aMyZchJq7bYV//pl/WbGWYjC1cKAUxV/UoHfLl6/mne+VAW0YGqFjEBcKDtf8TZGX2ZZ&#10;kK2yIozAK0fJBtCKSCFusxpFR+jWZMV4fJV1gLVHkCoE+roakvyIiC8BhKbRUq1A7qxycUBFZUQk&#10;SaHVPvBFYts0SsZPTRNUZKbipDSmNx1C603/zhZzUW5R+FbLIwXxEgrPNFmhHR16hlqJKNgO9R9Q&#10;VkuEAE0cSbDZICQ5Qiry8TNvHlvhVdJCVgd/Nj38P1j5cf+ATNcVv+bMCUsN/0ymCbc1ihVXvT+d&#10;DyWVPfoH7BUGfw/yW2AOli2VqTtE6FolamKV9/XZbxv6INBWtuk+QE3wYhchWXVo0PaAZAI7pI48&#10;nTuiDpFJ+pgXb2fFlDNJqXw8neSpY5koT5s9hvhOgWX9ouJI3BO42N+H2JMR5akkkQej67U2JgW4&#10;3SwNsr2g4VinJ/EnjZdlxrGu4jdT4vFviHF6/gZhdaQ7Y7St+OyyyLgeUaU5PfI9+TX4voH6ibxD&#10;GAaXri0tWsAfnHU0tBUP33cCFWfmvSP/b/LJpJ/yFEym1wUFeJnZXGaEkwRV8cjZsFzG4WbsPOpt&#10;SyflSbGDO+pZo5OfPb+B1bHTNJjJ5uMl6if/Mk5Vv34ci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qRZZSoCAACABAAADgAAAAAAAAABACAAAAAkAQAAZHJzL2Uyb0RvYy54bWxQSwUGAAAA&#10;AAYABgBZAQAAwAU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附整改报告</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0" t="0" r="28575" b="27940"/>
                      <wp:wrapNone/>
                      <wp:docPr id="6"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DuhhMUqAgAAgAQAAA4AAABkcnMvZTJvRG9jLnhtbK1UwY7T&#10;MBC9I/EPlu80TWh3u1HT1apVEdICKxY+wHWcxsL2mLHbdPl6Jk5byoLQHsgh8mTGz++9GWd+e7CG&#10;7RUGDa7i+WjMmXISau22Ff/6Zf1mxlmIwtXCgFMVf1KB3y5ev5p3vlQFtGBqhYxAXCg7X/E2Rl9m&#10;WZCtsiKMwCtHyQbQikghbrMaRUfo1mTFeHyVdYC1R5AqBPq6GpL8iIgvAYSm0VKtQO6scnFARWVE&#10;JEmh1T7wRWLbNErGT00TVGSm4qQ0pjcdQutN/84Wc1FuUfhWyyMF8RIKzzRZoR0deoZaiSjYDvUf&#10;UFZLhABNHEmw2SAkOUIq8vEzbx5b4VXSQlYHfzY9/D9Y+XH/gEzXFb/izAlLDf9Mpgm3NYoV170/&#10;nQ8llT36B+wVBn8P8ltgDpYtlak7ROhaJWpilff12W8b+iDQVrbpPkBN8GIXIVl1aND2gGQCO6SO&#10;PJ07og6RSfqYF29nxZQzSal8PJ3kqWOZKE+bPYb4ToFl/aLiSNwTuNjfh9iTEeWpJJEHo+u1NiYF&#10;uN0sDbK9oOFYpyfxJ42XZcaxruI3U+Lxb4hxev4GYXWkO2O0rfjsssi4HlGlOT3yPfk1+L6B+om8&#10;QxgGl64tLVrAH5x1NLQVD993AhVn5r0j/2/yyaSf8hRMptcFBXiZ2VxmhJMEVfHI2bBcxuFm7Dzq&#10;bUsn5UmxgzvqWaOTnz2/gdWx0zSYyebjJeon/zJOVb9+HI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DuhhMUqAgAAgAQAAA4AAAAAAAAAAQAgAAAAJQEAAGRycy9lMm9Eb2MueG1sUEsFBgAA&#10;AAAGAAYAWQEAAMEFA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附验收相关说明</w:t>
            </w:r>
          </w:p>
          <w:p>
            <w:pPr>
              <w:spacing w:line="440" w:lineRule="exact"/>
              <w:jc w:val="right"/>
              <w:rPr>
                <w:rFonts w:ascii="宋体" w:hAnsi="宋体"/>
                <w:color w:val="auto"/>
                <w:sz w:val="24"/>
                <w:szCs w:val="24"/>
                <w:highlight w:val="none"/>
              </w:rPr>
            </w:pPr>
            <w:r>
              <w:rPr>
                <w:rFonts w:hint="eastAsia" w:ascii="宋体" w:hAnsi="宋体"/>
                <w:color w:val="auto"/>
                <w:sz w:val="24"/>
                <w:szCs w:val="24"/>
                <w:highlight w:val="none"/>
              </w:rPr>
              <w:t>（公章）</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校验收专家</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continue"/>
          </w:tcPr>
          <w:p>
            <w:pPr>
              <w:spacing w:line="440" w:lineRule="exact"/>
              <w:rPr>
                <w:rFonts w:ascii="宋体" w:hAnsi="宋体"/>
                <w:color w:val="auto"/>
                <w:sz w:val="24"/>
                <w:szCs w:val="24"/>
                <w:highlight w:val="none"/>
              </w:rPr>
            </w:pPr>
          </w:p>
        </w:tc>
        <w:tc>
          <w:tcPr>
            <w:tcW w:w="1489" w:type="pct"/>
            <w:gridSpan w:val="4"/>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业主专家</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continue"/>
          </w:tcPr>
          <w:p>
            <w:pPr>
              <w:spacing w:line="440" w:lineRule="exact"/>
              <w:rPr>
                <w:rFonts w:ascii="宋体" w:hAnsi="宋体"/>
                <w:color w:val="auto"/>
                <w:sz w:val="24"/>
                <w:szCs w:val="24"/>
                <w:highlight w:val="none"/>
              </w:rPr>
            </w:pPr>
          </w:p>
        </w:tc>
        <w:tc>
          <w:tcPr>
            <w:tcW w:w="1489" w:type="pct"/>
            <w:gridSpan w:val="4"/>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验收监督人</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continue"/>
          </w:tcPr>
          <w:p>
            <w:pPr>
              <w:spacing w:line="440" w:lineRule="exact"/>
              <w:rPr>
                <w:rFonts w:ascii="宋体" w:hAnsi="宋体"/>
                <w:color w:val="auto"/>
                <w:sz w:val="24"/>
                <w:szCs w:val="24"/>
                <w:highlight w:val="none"/>
              </w:rPr>
            </w:pPr>
          </w:p>
        </w:tc>
        <w:tc>
          <w:tcPr>
            <w:tcW w:w="1489" w:type="pct"/>
            <w:gridSpan w:val="4"/>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验收组织人</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continue"/>
          </w:tcPr>
          <w:p>
            <w:pPr>
              <w:spacing w:line="440" w:lineRule="exact"/>
              <w:rPr>
                <w:rFonts w:ascii="宋体" w:hAnsi="宋体"/>
                <w:color w:val="auto"/>
                <w:sz w:val="24"/>
                <w:szCs w:val="24"/>
                <w:highlight w:val="none"/>
              </w:rPr>
            </w:pPr>
          </w:p>
        </w:tc>
        <w:tc>
          <w:tcPr>
            <w:tcW w:w="1489" w:type="pct"/>
            <w:gridSpan w:val="4"/>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color w:val="auto"/>
                <w:sz w:val="30"/>
                <w:szCs w:val="30"/>
                <w:highlight w:val="none"/>
              </w:rPr>
            </w:pPr>
            <w:r>
              <w:rPr>
                <w:rFonts w:hint="eastAsia" w:ascii="宋体" w:hAnsi="宋体"/>
                <w:color w:val="auto"/>
                <w:sz w:val="30"/>
                <w:szCs w:val="30"/>
                <w:highlight w:val="none"/>
              </w:rPr>
              <w:t>备注</w:t>
            </w:r>
            <w:r>
              <w:rPr>
                <w:rFonts w:ascii="宋体" w:hAnsi="宋体"/>
                <w:b/>
                <w:color w:val="auto"/>
                <w:sz w:val="30"/>
                <w:szCs w:val="30"/>
                <w:highlight w:val="none"/>
              </w:rPr>
              <w:t>：</w:t>
            </w:r>
            <w:r>
              <w:rPr>
                <w:rFonts w:hint="eastAsia" w:ascii="宋体" w:hAnsi="宋体"/>
                <w:b/>
                <w:color w:val="auto"/>
                <w:sz w:val="30"/>
                <w:szCs w:val="30"/>
                <w:highlight w:val="none"/>
              </w:rPr>
              <w:t>本栏</w:t>
            </w:r>
            <w:r>
              <w:rPr>
                <w:rFonts w:ascii="宋体" w:hAnsi="宋体"/>
                <w:b/>
                <w:color w:val="auto"/>
                <w:sz w:val="30"/>
                <w:szCs w:val="30"/>
                <w:highlight w:val="none"/>
              </w:rPr>
              <w:t>可不打印</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1.单台（件）30万元以下且批量金额在80万元以下的采购项目由采购单位组织</w:t>
            </w:r>
            <w:r>
              <w:rPr>
                <w:rFonts w:ascii="宋体" w:hAnsi="宋体"/>
                <w:color w:val="auto"/>
                <w:sz w:val="30"/>
                <w:szCs w:val="30"/>
                <w:highlight w:val="none"/>
              </w:rPr>
              <w:t>安装调试验收和采购单位验收</w:t>
            </w:r>
            <w:r>
              <w:rPr>
                <w:rFonts w:hint="eastAsia" w:ascii="宋体" w:hAnsi="宋体"/>
                <w:color w:val="auto"/>
                <w:sz w:val="30"/>
                <w:szCs w:val="30"/>
                <w:highlight w:val="none"/>
              </w:rPr>
              <w:t>，验收</w:t>
            </w:r>
            <w:r>
              <w:rPr>
                <w:rFonts w:ascii="宋体" w:hAnsi="宋体"/>
                <w:color w:val="auto"/>
                <w:sz w:val="30"/>
                <w:szCs w:val="30"/>
                <w:highlight w:val="none"/>
              </w:rPr>
              <w:t>合格后</w:t>
            </w:r>
            <w:r>
              <w:rPr>
                <w:rFonts w:hint="eastAsia" w:ascii="宋体" w:hAnsi="宋体"/>
                <w:color w:val="auto"/>
                <w:sz w:val="30"/>
                <w:szCs w:val="30"/>
                <w:highlight w:val="none"/>
              </w:rPr>
              <w:t>不需</w:t>
            </w:r>
            <w:r>
              <w:rPr>
                <w:rFonts w:ascii="宋体" w:hAnsi="宋体"/>
                <w:color w:val="auto"/>
                <w:sz w:val="30"/>
                <w:szCs w:val="30"/>
                <w:highlight w:val="none"/>
              </w:rPr>
              <w:t>提交校级验收，</w:t>
            </w:r>
            <w:r>
              <w:rPr>
                <w:rFonts w:hint="eastAsia" w:ascii="宋体" w:hAnsi="宋体"/>
                <w:color w:val="auto"/>
                <w:sz w:val="30"/>
                <w:szCs w:val="30"/>
                <w:highlight w:val="none"/>
              </w:rPr>
              <w:t>下</w:t>
            </w:r>
            <w:r>
              <w:rPr>
                <w:rFonts w:ascii="宋体" w:hAnsi="宋体"/>
                <w:color w:val="auto"/>
                <w:sz w:val="30"/>
                <w:szCs w:val="30"/>
                <w:highlight w:val="none"/>
              </w:rPr>
              <w:t>一步</w:t>
            </w:r>
            <w:r>
              <w:rPr>
                <w:rFonts w:hint="eastAsia" w:ascii="宋体" w:hAnsi="宋体"/>
                <w:color w:val="auto"/>
                <w:sz w:val="30"/>
                <w:szCs w:val="30"/>
                <w:highlight w:val="none"/>
              </w:rPr>
              <w:t>可</w:t>
            </w:r>
            <w:r>
              <w:rPr>
                <w:rFonts w:ascii="宋体" w:hAnsi="宋体"/>
                <w:color w:val="auto"/>
                <w:sz w:val="30"/>
                <w:szCs w:val="30"/>
                <w:highlight w:val="none"/>
              </w:rPr>
              <w:t>办理资产入库</w:t>
            </w:r>
            <w:r>
              <w:rPr>
                <w:rFonts w:hint="eastAsia" w:ascii="宋体" w:hAnsi="宋体"/>
                <w:color w:val="auto"/>
                <w:sz w:val="30"/>
                <w:szCs w:val="30"/>
                <w:highlight w:val="none"/>
              </w:rPr>
              <w:t>和</w:t>
            </w:r>
            <w:r>
              <w:rPr>
                <w:rFonts w:ascii="宋体" w:hAnsi="宋体"/>
                <w:color w:val="auto"/>
                <w:sz w:val="30"/>
                <w:szCs w:val="30"/>
                <w:highlight w:val="none"/>
              </w:rPr>
              <w:t>报销等手续。</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2.单台（件）30万元（含）以上及批量金额在80万元（含）以上的采购项目，由采购单位组织安装</w:t>
            </w:r>
            <w:r>
              <w:rPr>
                <w:rFonts w:ascii="宋体" w:hAnsi="宋体"/>
                <w:color w:val="auto"/>
                <w:sz w:val="30"/>
                <w:szCs w:val="30"/>
                <w:highlight w:val="none"/>
              </w:rPr>
              <w:t>调试验收和采购单位</w:t>
            </w:r>
            <w:r>
              <w:rPr>
                <w:rFonts w:hint="eastAsia" w:ascii="宋体" w:hAnsi="宋体"/>
                <w:color w:val="auto"/>
                <w:sz w:val="30"/>
                <w:szCs w:val="30"/>
                <w:highlight w:val="none"/>
              </w:rPr>
              <w:t>验收，验收通过后提交校</w:t>
            </w:r>
            <w:r>
              <w:rPr>
                <w:rFonts w:ascii="宋体" w:hAnsi="宋体"/>
                <w:color w:val="auto"/>
                <w:sz w:val="30"/>
                <w:szCs w:val="30"/>
                <w:highlight w:val="none"/>
              </w:rPr>
              <w:t>级</w:t>
            </w:r>
            <w:r>
              <w:rPr>
                <w:rFonts w:hint="eastAsia" w:ascii="宋体" w:hAnsi="宋体"/>
                <w:color w:val="auto"/>
                <w:sz w:val="30"/>
                <w:szCs w:val="30"/>
                <w:highlight w:val="none"/>
              </w:rPr>
              <w:t>验收，校</w:t>
            </w:r>
            <w:r>
              <w:rPr>
                <w:rFonts w:ascii="宋体" w:hAnsi="宋体"/>
                <w:color w:val="auto"/>
                <w:sz w:val="30"/>
                <w:szCs w:val="30"/>
                <w:highlight w:val="none"/>
              </w:rPr>
              <w:t>级</w:t>
            </w:r>
            <w:r>
              <w:rPr>
                <w:rFonts w:hint="eastAsia" w:ascii="宋体" w:hAnsi="宋体"/>
                <w:color w:val="auto"/>
                <w:sz w:val="30"/>
                <w:szCs w:val="30"/>
                <w:highlight w:val="none"/>
              </w:rPr>
              <w:t>验收</w:t>
            </w:r>
            <w:r>
              <w:rPr>
                <w:rFonts w:ascii="宋体" w:hAnsi="宋体"/>
                <w:color w:val="auto"/>
                <w:sz w:val="30"/>
                <w:szCs w:val="30"/>
                <w:highlight w:val="none"/>
              </w:rPr>
              <w:t>合格后</w:t>
            </w:r>
            <w:r>
              <w:rPr>
                <w:rFonts w:hint="eastAsia" w:ascii="宋体" w:hAnsi="宋体"/>
                <w:color w:val="auto"/>
                <w:sz w:val="30"/>
                <w:szCs w:val="30"/>
                <w:highlight w:val="none"/>
              </w:rPr>
              <w:t>，</w:t>
            </w:r>
            <w:r>
              <w:rPr>
                <w:rFonts w:ascii="宋体" w:hAnsi="宋体"/>
                <w:color w:val="auto"/>
                <w:sz w:val="30"/>
                <w:szCs w:val="30"/>
                <w:highlight w:val="none"/>
              </w:rPr>
              <w:t>下一步可办理资产入库</w:t>
            </w:r>
            <w:r>
              <w:rPr>
                <w:rFonts w:hint="eastAsia" w:ascii="宋体" w:hAnsi="宋体"/>
                <w:color w:val="auto"/>
                <w:sz w:val="30"/>
                <w:szCs w:val="30"/>
                <w:highlight w:val="none"/>
              </w:rPr>
              <w:t>和</w:t>
            </w:r>
            <w:r>
              <w:rPr>
                <w:rFonts w:ascii="宋体" w:hAnsi="宋体"/>
                <w:color w:val="auto"/>
                <w:sz w:val="30"/>
                <w:szCs w:val="30"/>
                <w:highlight w:val="none"/>
              </w:rPr>
              <w:t>报销等手续。</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3.免税进口设备验收</w:t>
            </w:r>
            <w:r>
              <w:rPr>
                <w:rFonts w:ascii="宋体" w:hAnsi="宋体"/>
                <w:color w:val="auto"/>
                <w:sz w:val="30"/>
                <w:szCs w:val="30"/>
                <w:highlight w:val="none"/>
              </w:rPr>
              <w:t>时</w:t>
            </w:r>
            <w:r>
              <w:rPr>
                <w:rFonts w:hint="eastAsia" w:ascii="宋体" w:hAnsi="宋体"/>
                <w:color w:val="auto"/>
                <w:sz w:val="30"/>
                <w:szCs w:val="30"/>
                <w:highlight w:val="none"/>
              </w:rPr>
              <w:t>须核查报</w:t>
            </w:r>
            <w:r>
              <w:rPr>
                <w:rFonts w:ascii="宋体" w:hAnsi="宋体"/>
                <w:color w:val="auto"/>
                <w:sz w:val="30"/>
                <w:szCs w:val="30"/>
                <w:highlight w:val="none"/>
              </w:rPr>
              <w:t>关单</w:t>
            </w:r>
            <w:r>
              <w:rPr>
                <w:rFonts w:hint="eastAsia" w:ascii="宋体" w:hAnsi="宋体"/>
                <w:color w:val="auto"/>
                <w:sz w:val="30"/>
                <w:szCs w:val="30"/>
                <w:highlight w:val="none"/>
              </w:rPr>
              <w:t>和</w:t>
            </w:r>
            <w:r>
              <w:rPr>
                <w:rFonts w:ascii="宋体" w:hAnsi="宋体"/>
                <w:color w:val="auto"/>
                <w:sz w:val="30"/>
                <w:szCs w:val="30"/>
                <w:highlight w:val="none"/>
              </w:rPr>
              <w:t>免税证明</w:t>
            </w:r>
            <w:r>
              <w:rPr>
                <w:rFonts w:hint="eastAsia" w:ascii="宋体" w:hAnsi="宋体"/>
                <w:color w:val="auto"/>
                <w:sz w:val="30"/>
                <w:szCs w:val="30"/>
                <w:highlight w:val="none"/>
              </w:rPr>
              <w:t>。</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4.申请校级验收时，需提交本验收单1式4份，成交通知书（复印件），采购合同（复印件）；单台（件）30万元（含）以上采购</w:t>
            </w:r>
            <w:r>
              <w:rPr>
                <w:rFonts w:ascii="宋体" w:hAnsi="宋体"/>
                <w:color w:val="auto"/>
                <w:sz w:val="30"/>
                <w:szCs w:val="30"/>
                <w:highlight w:val="none"/>
              </w:rPr>
              <w:t>项目</w:t>
            </w:r>
            <w:r>
              <w:rPr>
                <w:rFonts w:hint="eastAsia" w:ascii="宋体" w:hAnsi="宋体"/>
                <w:color w:val="auto"/>
                <w:sz w:val="30"/>
                <w:szCs w:val="30"/>
                <w:highlight w:val="none"/>
              </w:rPr>
              <w:t>，需提交设备使用记录（复印件），或供货单位和采购单位签字或盖章的测试报告（</w:t>
            </w:r>
            <w:r>
              <w:rPr>
                <w:rFonts w:ascii="宋体" w:hAnsi="宋体"/>
                <w:color w:val="auto"/>
                <w:sz w:val="30"/>
                <w:szCs w:val="30"/>
                <w:highlight w:val="none"/>
              </w:rPr>
              <w:t>复印件）</w:t>
            </w:r>
            <w:r>
              <w:rPr>
                <w:rFonts w:hint="eastAsia" w:ascii="宋体" w:hAnsi="宋体"/>
                <w:color w:val="auto"/>
                <w:sz w:val="30"/>
                <w:szCs w:val="30"/>
                <w:highlight w:val="none"/>
              </w:rPr>
              <w:t>；免税进口</w:t>
            </w:r>
            <w:r>
              <w:rPr>
                <w:rFonts w:ascii="宋体" w:hAnsi="宋体"/>
                <w:color w:val="auto"/>
                <w:sz w:val="30"/>
                <w:szCs w:val="30"/>
                <w:highlight w:val="none"/>
              </w:rPr>
              <w:t>设备</w:t>
            </w:r>
            <w:r>
              <w:rPr>
                <w:rFonts w:hint="eastAsia" w:ascii="宋体" w:hAnsi="宋体"/>
                <w:color w:val="auto"/>
                <w:sz w:val="30"/>
                <w:szCs w:val="30"/>
                <w:highlight w:val="none"/>
              </w:rPr>
              <w:t>需</w:t>
            </w:r>
            <w:r>
              <w:rPr>
                <w:rFonts w:ascii="宋体" w:hAnsi="宋体"/>
                <w:color w:val="auto"/>
                <w:sz w:val="30"/>
                <w:szCs w:val="30"/>
                <w:highlight w:val="none"/>
              </w:rPr>
              <w:t>提交报关单</w:t>
            </w:r>
            <w:r>
              <w:rPr>
                <w:rFonts w:hint="eastAsia" w:ascii="宋体" w:hAnsi="宋体"/>
                <w:color w:val="auto"/>
                <w:sz w:val="30"/>
                <w:szCs w:val="30"/>
                <w:highlight w:val="none"/>
              </w:rPr>
              <w:t>和</w:t>
            </w:r>
            <w:r>
              <w:rPr>
                <w:rFonts w:ascii="宋体" w:hAnsi="宋体"/>
                <w:color w:val="auto"/>
                <w:sz w:val="30"/>
                <w:szCs w:val="30"/>
                <w:highlight w:val="none"/>
              </w:rPr>
              <w:t>免税证明。</w:t>
            </w:r>
          </w:p>
          <w:p>
            <w:pPr>
              <w:spacing w:line="440" w:lineRule="exact"/>
              <w:rPr>
                <w:rFonts w:ascii="宋体" w:hAnsi="宋体"/>
                <w:color w:val="auto"/>
                <w:sz w:val="30"/>
                <w:szCs w:val="30"/>
                <w:highlight w:val="none"/>
              </w:rPr>
            </w:pPr>
            <w:r>
              <w:rPr>
                <w:rFonts w:ascii="宋体" w:hAnsi="宋体"/>
                <w:color w:val="auto"/>
                <w:sz w:val="30"/>
                <w:szCs w:val="30"/>
                <w:highlight w:val="none"/>
              </w:rPr>
              <w:t>5</w:t>
            </w:r>
            <w:r>
              <w:rPr>
                <w:rFonts w:hint="eastAsia" w:ascii="宋体" w:hAnsi="宋体"/>
                <w:b/>
                <w:color w:val="auto"/>
                <w:sz w:val="30"/>
                <w:szCs w:val="30"/>
                <w:highlight w:val="none"/>
              </w:rPr>
              <w:t>.校</w:t>
            </w:r>
            <w:r>
              <w:rPr>
                <w:rFonts w:ascii="宋体" w:hAnsi="宋体"/>
                <w:b/>
                <w:color w:val="auto"/>
                <w:sz w:val="30"/>
                <w:szCs w:val="30"/>
                <w:highlight w:val="none"/>
              </w:rPr>
              <w:t>级</w:t>
            </w:r>
            <w:r>
              <w:rPr>
                <w:rFonts w:hint="eastAsia" w:ascii="宋体" w:hAnsi="宋体"/>
                <w:b/>
                <w:color w:val="auto"/>
                <w:sz w:val="30"/>
                <w:szCs w:val="30"/>
                <w:highlight w:val="none"/>
              </w:rPr>
              <w:t>验收时，采购单位要准备竞价文件、报价文件、采购合同等材料，以备专家核查。</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6.验收单格式要求：本表每份一张，用A4纸打印或手填。验收货物较多的，货物清单可另附并加盖采购单位公章，但本表仍做单页，不可分页打印。</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7.校级</w:t>
            </w:r>
            <w:r>
              <w:rPr>
                <w:rFonts w:ascii="宋体" w:hAnsi="宋体"/>
                <w:color w:val="auto"/>
                <w:sz w:val="30"/>
                <w:szCs w:val="30"/>
                <w:highlight w:val="none"/>
              </w:rPr>
              <w:t>验收</w:t>
            </w:r>
            <w:r>
              <w:rPr>
                <w:rFonts w:hint="eastAsia" w:ascii="宋体" w:hAnsi="宋体"/>
                <w:color w:val="auto"/>
                <w:sz w:val="30"/>
                <w:szCs w:val="30"/>
                <w:highlight w:val="none"/>
              </w:rPr>
              <w:t>咨询电话：</w:t>
            </w:r>
            <w:r>
              <w:rPr>
                <w:rFonts w:ascii="宋体" w:hAnsi="宋体"/>
                <w:color w:val="auto"/>
                <w:sz w:val="30"/>
                <w:szCs w:val="30"/>
                <w:highlight w:val="none"/>
              </w:rPr>
              <w:t>83746975</w:t>
            </w:r>
            <w:r>
              <w:rPr>
                <w:rFonts w:hint="eastAsia" w:ascii="宋体" w:hAnsi="宋体"/>
                <w:color w:val="auto"/>
                <w:sz w:val="30"/>
                <w:szCs w:val="30"/>
                <w:highlight w:val="none"/>
              </w:rPr>
              <w:t>，明</w:t>
            </w:r>
            <w:r>
              <w:rPr>
                <w:rFonts w:ascii="宋体" w:hAnsi="宋体"/>
                <w:color w:val="auto"/>
                <w:sz w:val="30"/>
                <w:szCs w:val="30"/>
                <w:highlight w:val="none"/>
              </w:rPr>
              <w:t>南附</w:t>
            </w:r>
            <w:r>
              <w:rPr>
                <w:rFonts w:hint="eastAsia" w:ascii="宋体" w:hAnsi="宋体"/>
                <w:color w:val="auto"/>
                <w:sz w:val="30"/>
                <w:szCs w:val="30"/>
                <w:highlight w:val="none"/>
              </w:rPr>
              <w:t>楼105室。</w:t>
            </w:r>
          </w:p>
        </w:tc>
      </w:tr>
    </w:tbl>
    <w:p>
      <w:pPr>
        <w:spacing w:line="460" w:lineRule="exact"/>
        <w:jc w:val="center"/>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pPr>
        <w:numPr>
          <w:ilvl w:val="0"/>
          <w:numId w:val="4"/>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pPr>
        <w:spacing w:line="500" w:lineRule="atLeast"/>
        <w:rPr>
          <w:rFonts w:ascii="宋体" w:hAnsi="宋体"/>
          <w:b/>
          <w:color w:val="auto"/>
          <w:sz w:val="52"/>
          <w:szCs w:val="52"/>
          <w:highlight w:val="none"/>
        </w:rPr>
      </w:pPr>
    </w:p>
    <w:p>
      <w:pPr>
        <w:spacing w:line="500" w:lineRule="atLeast"/>
        <w:rPr>
          <w:rFonts w:ascii="宋体" w:hAnsi="宋体"/>
          <w:b/>
          <w:color w:val="auto"/>
          <w:sz w:val="52"/>
          <w:szCs w:val="52"/>
          <w:highlight w:val="none"/>
        </w:rPr>
      </w:pPr>
    </w:p>
    <w:p>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color w:val="auto"/>
          <w:sz w:val="24"/>
          <w:highlight w:val="none"/>
        </w:rPr>
      </w:pP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color w:val="auto"/>
                <w:kern w:val="0"/>
                <w:sz w:val="24"/>
                <w:highlight w:val="none"/>
              </w:rPr>
            </w:pPr>
          </w:p>
        </w:tc>
      </w:tr>
    </w:tbl>
    <w:p>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pPr>
        <w:spacing w:line="440" w:lineRule="exact"/>
        <w:rPr>
          <w:rFonts w:ascii="宋体" w:hAnsi="宋体"/>
          <w:color w:val="auto"/>
          <w:sz w:val="24"/>
          <w:szCs w:val="24"/>
          <w:highlight w:val="none"/>
        </w:rPr>
      </w:pPr>
    </w:p>
    <w:p>
      <w:pPr>
        <w:pStyle w:val="18"/>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8"/>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pPr>
        <w:pStyle w:val="18"/>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szCs w:val="24"/>
          <w:highlight w:val="none"/>
        </w:rPr>
      </w:pP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pPr>
        <w:pStyle w:val="18"/>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8"/>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pPr>
        <w:pStyle w:val="18"/>
        <w:widowControl/>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pPr>
        <w:spacing w:line="440" w:lineRule="exact"/>
        <w:rPr>
          <w:rFonts w:ascii="宋体" w:hAnsi="宋体" w:cs="宋体"/>
          <w:b/>
          <w:color w:val="auto"/>
          <w:kern w:val="0"/>
          <w:sz w:val="24"/>
          <w:highlight w:val="none"/>
        </w:rPr>
      </w:pPr>
    </w:p>
    <w:p>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pPr>
        <w:ind w:firstLine="480" w:firstLineChars="200"/>
        <w:jc w:val="left"/>
        <w:rPr>
          <w:rFonts w:ascii="宋体" w:hAnsi="宋体"/>
          <w:color w:val="auto"/>
          <w:sz w:val="24"/>
          <w:szCs w:val="24"/>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color w:val="auto"/>
                <w:kern w:val="0"/>
                <w:sz w:val="24"/>
                <w:highlight w:val="none"/>
              </w:rPr>
            </w:pPr>
          </w:p>
        </w:tc>
      </w:tr>
    </w:tbl>
    <w:p>
      <w:pPr>
        <w:rPr>
          <w:color w:val="auto"/>
          <w:highlight w:val="none"/>
        </w:rPr>
      </w:pPr>
    </w:p>
    <w:p>
      <w:pPr>
        <w:pStyle w:val="8"/>
        <w:rPr>
          <w:color w:val="auto"/>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pPr>
        <w:pStyle w:val="43"/>
        <w:spacing w:line="500" w:lineRule="exact"/>
        <w:jc w:val="center"/>
        <w:rPr>
          <w:rFonts w:hAnsi="宋体" w:cs="宋体"/>
          <w:b/>
          <w:color w:val="auto"/>
          <w:kern w:val="0"/>
          <w:sz w:val="24"/>
          <w:highlight w:val="none"/>
        </w:rPr>
      </w:pPr>
      <w:r>
        <w:rPr>
          <w:rFonts w:hint="eastAsia" w:hAnsi="宋体" w:cs="宋体"/>
          <w:b/>
          <w:color w:val="auto"/>
          <w:kern w:val="0"/>
          <w:sz w:val="36"/>
          <w:szCs w:val="36"/>
          <w:highlight w:val="none"/>
        </w:rPr>
        <w:t>资格承诺函</w:t>
      </w:r>
    </w:p>
    <w:p>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 xml:space="preserve">致：    （采购人、采购代理机构）    </w:t>
      </w:r>
    </w:p>
    <w:p>
      <w:pPr>
        <w:pStyle w:val="43"/>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我单位参与  （项目编号：  ）  （项目名称：    ）项目的采购活动，现承诺如下：</w:t>
      </w: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1.我单位具有符合竞价文件资格要求的财务状况报告。</w:t>
      </w: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2.我单位具有符合竞价文件资格要求的依法缴纳税收的相关证明材料。</w:t>
      </w: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3.我单位具有符合竞价文件资格要求的依法缴纳社会保障资金的相关证明材料。</w:t>
      </w:r>
    </w:p>
    <w:p>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 xml:space="preserve">   若我单位承诺不实，自愿承担提供虚假材料谋取中标、成交的法律责任。</w:t>
      </w:r>
    </w:p>
    <w:p>
      <w:pPr>
        <w:pStyle w:val="43"/>
        <w:spacing w:line="500" w:lineRule="exact"/>
        <w:jc w:val="left"/>
        <w:rPr>
          <w:rFonts w:hAnsi="宋体"/>
          <w:color w:val="auto"/>
          <w:sz w:val="24"/>
          <w:szCs w:val="24"/>
          <w:highlight w:val="none"/>
        </w:rPr>
      </w:pP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承诺供应商（全称并加盖公章）：              </w:t>
      </w: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单位负责人或授权代表（签字）：              </w:t>
      </w: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日期：              </w:t>
      </w: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    </w:t>
      </w: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说明：供应商可自行选择是否提供本承诺函，若不提供本承诺函的，应按竞价文件要求提供相应的证明材料。</w:t>
      </w: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pPr>
        <w:spacing w:line="500" w:lineRule="exact"/>
        <w:rPr>
          <w:rFonts w:ascii="宋体" w:hAnsi="宋体"/>
          <w:color w:val="auto"/>
          <w:sz w:val="24"/>
          <w:highlight w:val="none"/>
        </w:rPr>
      </w:pPr>
      <w:r>
        <w:rPr>
          <w:rFonts w:hint="eastAsia" w:ascii="宋体" w:hAnsi="宋体"/>
          <w:color w:val="auto"/>
          <w:sz w:val="24"/>
          <w:szCs w:val="24"/>
          <w:highlight w:val="none"/>
        </w:rPr>
        <w:t>福建省宏瑞招标代理有限公司</w:t>
      </w:r>
      <w:r>
        <w:rPr>
          <w:rFonts w:hint="eastAsia" w:ascii="宋体" w:hAnsi="宋体"/>
          <w:color w:val="auto"/>
          <w:sz w:val="24"/>
          <w:highlight w:val="none"/>
        </w:rPr>
        <w:t>：</w:t>
      </w:r>
    </w:p>
    <w:p>
      <w:pPr>
        <w:pStyle w:val="12"/>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我公司法定代表人</w:t>
      </w:r>
      <w:r>
        <w:rPr>
          <w:rFonts w:hint="eastAsia" w:hAnsi="宋体"/>
          <w:color w:val="auto"/>
          <w:sz w:val="24"/>
          <w:szCs w:val="24"/>
          <w:highlight w:val="none"/>
          <w:u w:val="single"/>
        </w:rPr>
        <w:t xml:space="preserve">      </w:t>
      </w:r>
      <w:r>
        <w:rPr>
          <w:rFonts w:hint="eastAsia" w:hAnsi="宋体"/>
          <w:color w:val="auto"/>
          <w:sz w:val="24"/>
          <w:szCs w:val="24"/>
          <w:highlight w:val="none"/>
        </w:rPr>
        <w:t>授权</w:t>
      </w:r>
      <w:r>
        <w:rPr>
          <w:rFonts w:hint="eastAsia" w:hAnsi="宋体"/>
          <w:color w:val="auto"/>
          <w:sz w:val="24"/>
          <w:szCs w:val="24"/>
          <w:highlight w:val="none"/>
          <w:u w:val="single"/>
        </w:rPr>
        <w:t xml:space="preserve">      </w:t>
      </w:r>
      <w:r>
        <w:rPr>
          <w:rFonts w:hint="eastAsia" w:hAnsi="宋体"/>
          <w:color w:val="auto"/>
          <w:sz w:val="24"/>
          <w:szCs w:val="24"/>
          <w:highlight w:val="none"/>
        </w:rPr>
        <w:t>为竞价人的委托代理人，代表本公司参加贵司组织的</w:t>
      </w:r>
      <w:r>
        <w:rPr>
          <w:rFonts w:hint="eastAsia" w:hAnsi="宋体"/>
          <w:color w:val="auto"/>
          <w:sz w:val="24"/>
          <w:szCs w:val="24"/>
          <w:highlight w:val="none"/>
          <w:u w:val="single"/>
        </w:rPr>
        <w:t xml:space="preserve">               </w:t>
      </w:r>
      <w:r>
        <w:rPr>
          <w:rFonts w:hint="eastAsia" w:hAnsi="宋体"/>
          <w:color w:val="auto"/>
          <w:sz w:val="24"/>
          <w:szCs w:val="24"/>
          <w:highlight w:val="none"/>
        </w:rPr>
        <w:t>项目（项目编号：</w:t>
      </w:r>
      <w:r>
        <w:rPr>
          <w:rFonts w:hint="eastAsia" w:hAnsi="宋体"/>
          <w:color w:val="auto"/>
          <w:sz w:val="24"/>
          <w:szCs w:val="24"/>
          <w:highlight w:val="none"/>
          <w:u w:val="single"/>
        </w:rPr>
        <w:t xml:space="preserve">             </w:t>
      </w:r>
      <w:r>
        <w:rPr>
          <w:rFonts w:hint="eastAsia" w:hAnsi="宋体"/>
          <w:color w:val="auto"/>
          <w:sz w:val="24"/>
          <w:szCs w:val="24"/>
          <w:highlight w:val="none"/>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12"/>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pPr>
        <w:spacing w:line="500" w:lineRule="exact"/>
        <w:rPr>
          <w:rFonts w:ascii="宋体" w:hAnsi="宋体"/>
          <w:color w:val="auto"/>
          <w:sz w:val="24"/>
          <w:highlight w:val="none"/>
        </w:rPr>
      </w:pPr>
      <w:r>
        <w:rPr>
          <w:rFonts w:hint="eastAsia" w:ascii="宋体" w:hAnsi="宋体"/>
          <w:color w:val="auto"/>
          <w:sz w:val="24"/>
          <w:highlight w:val="none"/>
        </w:rPr>
        <w:t>竞价人的委托代理人：       性别：        身份证号：</w:t>
      </w:r>
    </w:p>
    <w:p>
      <w:pPr>
        <w:spacing w:line="500" w:lineRule="exact"/>
        <w:rPr>
          <w:rFonts w:ascii="宋体" w:hAnsi="宋体"/>
          <w:color w:val="auto"/>
          <w:sz w:val="24"/>
          <w:highlight w:val="none"/>
        </w:rPr>
      </w:pPr>
      <w:r>
        <w:rPr>
          <w:rFonts w:hint="eastAsia" w:ascii="宋体" w:hAnsi="宋体"/>
          <w:color w:val="auto"/>
          <w:sz w:val="24"/>
          <w:highlight w:val="none"/>
        </w:rPr>
        <w:t>单位：                     部门：        职务：</w:t>
      </w:r>
    </w:p>
    <w:p>
      <w:pPr>
        <w:spacing w:line="500" w:lineRule="exact"/>
        <w:rPr>
          <w:rFonts w:ascii="宋体" w:hAnsi="宋体"/>
          <w:color w:val="auto"/>
          <w:sz w:val="24"/>
          <w:highlight w:val="none"/>
        </w:rPr>
      </w:pPr>
      <w:r>
        <w:rPr>
          <w:rFonts w:hint="eastAsia" w:ascii="宋体" w:hAnsi="宋体"/>
          <w:color w:val="auto"/>
          <w:sz w:val="24"/>
          <w:highlight w:val="none"/>
        </w:rPr>
        <w:t>详细通讯地址：             邮政编码</w:t>
      </w:r>
      <w:r>
        <w:rPr>
          <w:rFonts w:ascii="宋体" w:hAnsi="宋体"/>
          <w:color w:val="auto"/>
          <w:sz w:val="24"/>
          <w:highlight w:val="none"/>
        </w:rPr>
        <w:t>:</w:t>
      </w:r>
      <w:r>
        <w:rPr>
          <w:rFonts w:hint="eastAsia" w:ascii="宋体" w:hAnsi="宋体"/>
          <w:color w:val="auto"/>
          <w:sz w:val="24"/>
          <w:highlight w:val="none"/>
        </w:rPr>
        <w:t xml:space="preserve">      电话：</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pPr>
        <w:tabs>
          <w:tab w:val="left" w:pos="900"/>
        </w:tabs>
        <w:spacing w:line="500" w:lineRule="exact"/>
        <w:rPr>
          <w:rFonts w:ascii="宋体" w:hAnsi="宋体"/>
          <w:color w:val="auto"/>
          <w:sz w:val="24"/>
          <w:szCs w:val="21"/>
          <w:highlight w:val="none"/>
        </w:rPr>
      </w:pPr>
      <w:r>
        <w:rPr>
          <w:rFonts w:hint="eastAsia" w:ascii="宋体" w:hAnsi="宋体"/>
          <w:color w:val="auto"/>
          <w:sz w:val="24"/>
          <w:szCs w:val="21"/>
          <w:highlight w:val="none"/>
        </w:rPr>
        <w:t>致：</w:t>
      </w:r>
      <w:r>
        <w:rPr>
          <w:rFonts w:hint="eastAsia" w:ascii="宋体" w:hAnsi="宋体"/>
          <w:color w:val="auto"/>
          <w:sz w:val="24"/>
          <w:szCs w:val="24"/>
          <w:highlight w:val="none"/>
        </w:rPr>
        <w:t>福建省宏瑞招标代理有限公司</w:t>
      </w:r>
    </w:p>
    <w:p>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pPr>
        <w:widowControl/>
        <w:spacing w:after="109" w:line="360" w:lineRule="auto"/>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pPr>
        <w:widowControl/>
        <w:spacing w:after="109" w:line="360" w:lineRule="auto"/>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973"/>
        <w:gridCol w:w="149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83" w:type="dxa"/>
            <w:vAlign w:val="center"/>
          </w:tcPr>
          <w:p>
            <w:pPr>
              <w:jc w:val="center"/>
              <w:rPr>
                <w:rFonts w:ascii="宋体" w:hAnsi="宋体"/>
                <w:color w:val="auto"/>
                <w:sz w:val="24"/>
                <w:highlight w:val="none"/>
              </w:rPr>
            </w:pPr>
            <w:r>
              <w:rPr>
                <w:rFonts w:hint="eastAsia" w:ascii="宋体" w:hAnsi="宋体"/>
                <w:color w:val="auto"/>
                <w:sz w:val="24"/>
                <w:highlight w:val="none"/>
              </w:rPr>
              <w:t>合同包</w:t>
            </w:r>
          </w:p>
        </w:tc>
        <w:tc>
          <w:tcPr>
            <w:tcW w:w="973" w:type="dxa"/>
            <w:vAlign w:val="center"/>
          </w:tcPr>
          <w:p>
            <w:pPr>
              <w:jc w:val="center"/>
              <w:rPr>
                <w:rFonts w:ascii="宋体" w:hAnsi="宋体"/>
                <w:color w:val="auto"/>
                <w:sz w:val="24"/>
                <w:highlight w:val="none"/>
              </w:rPr>
            </w:pPr>
            <w:r>
              <w:rPr>
                <w:rFonts w:hint="eastAsia" w:ascii="宋体" w:hAnsi="宋体"/>
                <w:color w:val="auto"/>
                <w:sz w:val="24"/>
                <w:highlight w:val="none"/>
              </w:rPr>
              <w:t>品目号</w:t>
            </w:r>
          </w:p>
        </w:tc>
        <w:tc>
          <w:tcPr>
            <w:tcW w:w="1493" w:type="dxa"/>
            <w:vAlign w:val="center"/>
          </w:tcPr>
          <w:p>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pPr>
              <w:jc w:val="center"/>
              <w:rPr>
                <w:rFonts w:ascii="宋体" w:hAnsi="宋体"/>
                <w:color w:val="auto"/>
                <w:sz w:val="24"/>
                <w:highlight w:val="none"/>
              </w:rPr>
            </w:pPr>
            <w:r>
              <w:rPr>
                <w:rFonts w:hint="eastAsia" w:ascii="宋体" w:hAnsi="宋体"/>
                <w:color w:val="auto"/>
                <w:sz w:val="24"/>
                <w:highlight w:val="none"/>
              </w:rPr>
              <w:t>品牌型号</w:t>
            </w:r>
          </w:p>
        </w:tc>
        <w:tc>
          <w:tcPr>
            <w:tcW w:w="994" w:type="dxa"/>
            <w:vAlign w:val="center"/>
          </w:tcPr>
          <w:p>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pPr>
              <w:jc w:val="center"/>
              <w:rPr>
                <w:rFonts w:ascii="宋体" w:hAnsi="宋体"/>
                <w:color w:val="auto"/>
                <w:sz w:val="24"/>
                <w:highlight w:val="none"/>
              </w:rPr>
            </w:pPr>
            <w:r>
              <w:rPr>
                <w:rFonts w:hint="eastAsia" w:ascii="宋体" w:hAnsi="宋体"/>
                <w:color w:val="auto"/>
                <w:sz w:val="24"/>
                <w:highlight w:val="none"/>
              </w:rPr>
              <w:t>单价最高限价(元)</w:t>
            </w:r>
          </w:p>
        </w:tc>
        <w:tc>
          <w:tcPr>
            <w:tcW w:w="992" w:type="dxa"/>
            <w:vAlign w:val="center"/>
          </w:tcPr>
          <w:p>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pPr>
              <w:jc w:val="center"/>
              <w:rPr>
                <w:rFonts w:ascii="宋体" w:hAnsi="宋体"/>
                <w:color w:val="auto"/>
                <w:sz w:val="24"/>
                <w:highlight w:val="none"/>
              </w:rPr>
            </w:pPr>
            <w:r>
              <w:rPr>
                <w:rFonts w:hint="eastAsia" w:ascii="宋体" w:hAnsi="宋体"/>
                <w:color w:val="auto"/>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restart"/>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349" w:type="dxa"/>
            <w:gridSpan w:val="3"/>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pPr>
              <w:spacing w:line="500" w:lineRule="exact"/>
              <w:rPr>
                <w:rFonts w:ascii="宋体" w:hAnsi="宋体"/>
                <w:color w:val="auto"/>
                <w:sz w:val="24"/>
                <w:highlight w:val="none"/>
              </w:rPr>
            </w:pPr>
          </w:p>
        </w:tc>
        <w:tc>
          <w:tcPr>
            <w:tcW w:w="2397"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小写：</w:t>
            </w:r>
          </w:p>
        </w:tc>
      </w:tr>
    </w:tbl>
    <w:p>
      <w:pPr>
        <w:rPr>
          <w:rFonts w:ascii="宋体" w:hAnsi="宋体"/>
          <w:b/>
          <w:color w:val="auto"/>
          <w:sz w:val="24"/>
          <w:szCs w:val="24"/>
          <w:highlight w:val="none"/>
          <w:u w:val="single"/>
        </w:rPr>
      </w:pPr>
    </w:p>
    <w:p>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color w:val="auto"/>
          <w:sz w:val="24"/>
          <w:szCs w:val="24"/>
          <w:highlight w:val="none"/>
          <w:u w:val="single"/>
        </w:rPr>
        <w:t>。</w:t>
      </w:r>
    </w:p>
    <w:p>
      <w:pPr>
        <w:pStyle w:val="4"/>
        <w:numPr>
          <w:ilvl w:val="0"/>
          <w:numId w:val="5"/>
        </w:numPr>
        <w:ind w:firstLine="482"/>
        <w:rPr>
          <w:rFonts w:ascii="宋体" w:hAnsi="宋体"/>
          <w:b/>
          <w:color w:val="auto"/>
          <w:sz w:val="24"/>
          <w:highlight w:val="none"/>
          <w:u w:val="single"/>
        </w:rPr>
      </w:pPr>
      <w:r>
        <w:rPr>
          <w:rFonts w:hint="eastAsia" w:ascii="宋体" w:hAnsi="宋体"/>
          <w:b/>
          <w:color w:val="auto"/>
          <w:sz w:val="24"/>
          <w:highlight w:val="none"/>
          <w:u w:val="single"/>
        </w:rPr>
        <w:t>竞价人应以包括本项目所涉及的有关项目的所有费用进行报价，包括：报价应包含货物制造、包装、安装、运输、检验、验收、售后等履行合同所需的一切费用。</w:t>
      </w:r>
    </w:p>
    <w:p>
      <w:pPr>
        <w:pStyle w:val="4"/>
        <w:numPr>
          <w:ilvl w:val="0"/>
          <w:numId w:val="5"/>
        </w:numPr>
        <w:ind w:firstLine="482"/>
        <w:rPr>
          <w:rFonts w:ascii="宋体" w:hAnsi="宋体"/>
          <w:b/>
          <w:color w:val="auto"/>
          <w:sz w:val="24"/>
          <w:highlight w:val="none"/>
          <w:u w:val="single"/>
        </w:rPr>
      </w:pPr>
      <w:r>
        <w:rPr>
          <w:rFonts w:hint="eastAsia" w:ascii="宋体" w:hAnsi="宋体"/>
          <w:b/>
          <w:color w:val="auto"/>
          <w:sz w:val="24"/>
          <w:highlight w:val="none"/>
          <w:u w:val="single"/>
        </w:rPr>
        <w:t xml:space="preserve">本表在竞价过程中提供，竞价人报名时不能提供本表。 </w:t>
      </w:r>
    </w:p>
    <w:p>
      <w:pPr>
        <w:pStyle w:val="4"/>
        <w:numPr>
          <w:ilvl w:val="0"/>
          <w:numId w:val="5"/>
        </w:numPr>
        <w:ind w:firstLine="482"/>
        <w:rPr>
          <w:rFonts w:ascii="宋体" w:hAnsi="宋体"/>
          <w:b/>
          <w:color w:val="auto"/>
          <w:sz w:val="24"/>
          <w:highlight w:val="none"/>
        </w:rPr>
      </w:pPr>
      <w:r>
        <w:rPr>
          <w:rFonts w:hint="eastAsia" w:ascii="宋体" w:hAnsi="宋体"/>
          <w:b/>
          <w:color w:val="auto"/>
          <w:sz w:val="24"/>
          <w:highlight w:val="none"/>
          <w:u w:val="single"/>
        </w:rPr>
        <w:t>竞价人对每个项目合同包报价时都必须扫描上传有效的报价文件并加盖公章，未按要求扫描上传报价文件的报价无效。扫描上传报价文件具有法律效力。</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r>
    </w:tbl>
    <w:p>
      <w:pPr>
        <w:rPr>
          <w:rFonts w:ascii="宋体" w:hAnsi="宋体" w:cs="宋体"/>
          <w:b/>
          <w:color w:val="auto"/>
          <w:kern w:val="0"/>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pPr>
        <w:rPr>
          <w:rFonts w:ascii="宋体" w:hAnsi="宋体" w:cs="宋体"/>
          <w:b/>
          <w:color w:val="auto"/>
          <w:kern w:val="0"/>
          <w:sz w:val="24"/>
          <w:highlight w:val="none"/>
        </w:rPr>
      </w:pPr>
    </w:p>
    <w:p>
      <w:pPr>
        <w:rPr>
          <w:rFonts w:ascii="宋体" w:hAnsi="宋体" w:cs="宋体"/>
          <w:b/>
          <w:color w:val="auto"/>
          <w:kern w:val="0"/>
          <w:sz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pPr>
        <w:widowControl/>
        <w:spacing w:after="109"/>
        <w:jc w:val="center"/>
        <w:rPr>
          <w:rFonts w:ascii="宋体" w:hAnsi="宋体"/>
          <w:color w:val="auto"/>
          <w:szCs w:val="24"/>
          <w:highlight w:val="none"/>
        </w:rPr>
      </w:pPr>
      <w:r>
        <w:rPr>
          <w:rFonts w:hint="eastAsia" w:ascii="宋体" w:hAnsi="宋体"/>
          <w:b/>
          <w:color w:val="auto"/>
          <w:sz w:val="28"/>
          <w:szCs w:val="28"/>
          <w:highlight w:val="none"/>
        </w:rPr>
        <w:t>商务条件响应表</w:t>
      </w:r>
    </w:p>
    <w:p>
      <w:pPr>
        <w:pStyle w:val="18"/>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color w:val="auto"/>
                <w:sz w:val="24"/>
                <w:szCs w:val="24"/>
                <w:highlight w:val="none"/>
              </w:rPr>
            </w:pPr>
          </w:p>
        </w:tc>
        <w:tc>
          <w:tcPr>
            <w:tcW w:w="1298" w:type="dxa"/>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r>
    </w:tbl>
    <w:p>
      <w:pPr>
        <w:jc w:val="center"/>
        <w:rPr>
          <w:rFonts w:ascii="宋体" w:hAnsi="宋体"/>
          <w:b/>
          <w:color w:val="auto"/>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rPr>
          <w:rFonts w:ascii="宋体" w:hAnsi="宋体" w:cs="宋体"/>
          <w:b/>
          <w:color w:val="auto"/>
          <w:kern w:val="0"/>
          <w:sz w:val="24"/>
          <w:highlight w:val="none"/>
        </w:rPr>
      </w:pPr>
      <w:r>
        <w:rPr>
          <w:rFonts w:ascii="宋体" w:hAnsi="宋体"/>
          <w:b/>
          <w:color w:val="auto"/>
          <w:sz w:val="28"/>
          <w:szCs w:val="28"/>
          <w:highlight w:val="none"/>
        </w:rPr>
        <w:br w:type="page"/>
      </w:r>
    </w:p>
    <w:p>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pPr>
        <w:rPr>
          <w:rFonts w:ascii="宋体" w:hAnsi="宋体" w:cs="宋体"/>
          <w:color w:val="auto"/>
          <w:kern w:val="0"/>
          <w:sz w:val="24"/>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pPr>
        <w:jc w:val="center"/>
        <w:rPr>
          <w:rFonts w:ascii="宋体" w:hAnsi="宋体"/>
          <w:b/>
          <w:color w:val="auto"/>
          <w:sz w:val="28"/>
          <w:szCs w:val="28"/>
          <w:highlight w:val="none"/>
        </w:rPr>
      </w:pPr>
    </w:p>
    <w:p>
      <w:pPr>
        <w:rPr>
          <w:rFonts w:ascii="宋体" w:hAnsi="宋体"/>
          <w:color w:val="auto"/>
          <w:sz w:val="24"/>
          <w:szCs w:val="24"/>
          <w:highlight w:val="none"/>
        </w:rPr>
      </w:pPr>
      <w:r>
        <w:rPr>
          <w:rFonts w:hint="eastAsia" w:ascii="宋体" w:hAnsi="宋体"/>
          <w:color w:val="auto"/>
          <w:sz w:val="24"/>
          <w:szCs w:val="24"/>
          <w:highlight w:val="none"/>
        </w:rPr>
        <w:t>说明：</w:t>
      </w:r>
    </w:p>
    <w:p>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附件14：</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pPr>
        <w:rPr>
          <w:rFonts w:ascii="宋体" w:hAnsi="宋体" w:cs="宋体"/>
          <w:color w:val="auto"/>
          <w:kern w:val="0"/>
          <w:sz w:val="24"/>
          <w:highlight w:val="none"/>
        </w:rPr>
      </w:pPr>
    </w:p>
    <w:p>
      <w:pPr>
        <w:rPr>
          <w:rFonts w:ascii="宋体" w:hAnsi="宋体" w:cs="宋体"/>
          <w:color w:val="auto"/>
          <w:kern w:val="0"/>
          <w:sz w:val="24"/>
          <w:highlight w:val="none"/>
        </w:rPr>
      </w:pPr>
    </w:p>
    <w:p>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pPr>
        <w:rPr>
          <w:rFonts w:ascii="宋体" w:hAnsi="宋体" w:cs="宋体"/>
          <w:color w:val="auto"/>
          <w:kern w:val="0"/>
          <w:sz w:val="24"/>
          <w:highlight w:val="none"/>
        </w:rPr>
      </w:pPr>
    </w:p>
    <w:p>
      <w:pPr>
        <w:rPr>
          <w:rFonts w:ascii="宋体" w:hAnsi="宋体" w:cs="宋体"/>
          <w:color w:val="auto"/>
          <w:kern w:val="0"/>
          <w:sz w:val="24"/>
          <w:highlight w:val="none"/>
        </w:rPr>
      </w:pPr>
    </w:p>
    <w:p>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bl>
    <w:p>
      <w:pPr>
        <w:rPr>
          <w:rFonts w:ascii="宋体" w:hAnsi="宋体" w:cs="宋体"/>
          <w:color w:val="auto"/>
          <w:kern w:val="0"/>
          <w:sz w:val="24"/>
          <w:highlight w:val="none"/>
        </w:rPr>
      </w:pPr>
    </w:p>
    <w:p>
      <w:pPr>
        <w:rPr>
          <w:rFonts w:ascii="宋体" w:hAnsi="宋体" w:cs="宋体"/>
          <w:color w:val="auto"/>
          <w:kern w:val="0"/>
          <w:sz w:val="24"/>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olor w:val="auto"/>
          <w:sz w:val="24"/>
          <w:highlight w:val="none"/>
        </w:rPr>
      </w:pPr>
      <w:r>
        <w:rPr>
          <w:rFonts w:hint="eastAsia" w:ascii="宋体" w:hAnsi="宋体"/>
          <w:color w:val="auto"/>
          <w:sz w:val="24"/>
          <w:highlight w:val="none"/>
        </w:rPr>
        <w:t>日  期： 年 月 日</w:t>
      </w:r>
    </w:p>
    <w:p>
      <w:pPr>
        <w:spacing w:line="360" w:lineRule="exac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附件15：</w:t>
      </w:r>
    </w:p>
    <w:p>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pPr>
        <w:jc w:val="center"/>
        <w:rPr>
          <w:rFonts w:ascii="宋体" w:hAnsi="宋体"/>
          <w:b/>
          <w:color w:val="auto"/>
          <w:sz w:val="28"/>
          <w:szCs w:val="28"/>
          <w:highlight w:val="none"/>
        </w:rPr>
      </w:pPr>
    </w:p>
    <w:p>
      <w:pPr>
        <w:numPr>
          <w:ilvl w:val="0"/>
          <w:numId w:val="6"/>
        </w:numPr>
        <w:spacing w:line="360" w:lineRule="auto"/>
        <w:rPr>
          <w:rFonts w:ascii="宋体" w:hAnsi="宋体"/>
          <w:color w:val="auto"/>
          <w:sz w:val="24"/>
          <w:szCs w:val="24"/>
          <w:highlight w:val="none"/>
        </w:rPr>
      </w:pPr>
      <w:r>
        <w:rPr>
          <w:rFonts w:hint="eastAsia" w:ascii="宋体" w:hAnsi="宋体"/>
          <w:color w:val="auto"/>
          <w:sz w:val="24"/>
          <w:szCs w:val="24"/>
          <w:highlight w:val="none"/>
        </w:rPr>
        <w:t>保证金凭证复印件；</w:t>
      </w:r>
    </w:p>
    <w:p>
      <w:pPr>
        <w:pStyle w:val="2"/>
        <w:spacing w:line="360" w:lineRule="auto"/>
        <w:ind w:firstLine="0" w:firstLineChars="0"/>
        <w:rPr>
          <w:color w:val="auto"/>
          <w:sz w:val="24"/>
          <w:szCs w:val="24"/>
          <w:highlight w:val="none"/>
        </w:rPr>
      </w:pPr>
      <w:r>
        <w:rPr>
          <w:rFonts w:hint="eastAsia" w:ascii="宋体" w:hAnsi="宋体" w:cs="宋体"/>
          <w:color w:val="auto"/>
          <w:sz w:val="24"/>
          <w:szCs w:val="24"/>
          <w:highlight w:val="none"/>
        </w:rPr>
        <w:t>2、</w:t>
      </w:r>
      <w:r>
        <w:rPr>
          <w:rFonts w:hint="eastAsia"/>
          <w:color w:val="auto"/>
          <w:sz w:val="24"/>
          <w:szCs w:val="24"/>
          <w:highlight w:val="none"/>
        </w:rPr>
        <w:t>竞价人认为需要提供的其他资料（若有）</w:t>
      </w:r>
    </w:p>
    <w:p>
      <w:pP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pStyle w:val="4"/>
        <w:rPr>
          <w:rFonts w:ascii="宋体" w:hAnsi="宋体"/>
          <w:color w:val="auto"/>
          <w:highlight w:val="none"/>
        </w:rPr>
      </w:pP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pPr>
        <w:rPr>
          <w:rFonts w:ascii="宋体" w:hAnsi="宋体"/>
          <w:b/>
          <w:color w:val="auto"/>
          <w:sz w:val="28"/>
          <w:szCs w:val="28"/>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pPr>
        <w:spacing w:line="500" w:lineRule="exact"/>
        <w:rPr>
          <w:rFonts w:ascii="宋体" w:hAnsi="宋体"/>
          <w:color w:val="auto"/>
          <w:sz w:val="24"/>
          <w:highlight w:val="none"/>
        </w:rPr>
      </w:pPr>
      <w:r>
        <w:rPr>
          <w:rFonts w:hint="eastAsia" w:ascii="宋体" w:hAnsi="宋体"/>
          <w:color w:val="auto"/>
          <w:sz w:val="24"/>
          <w:highlight w:val="none"/>
        </w:rPr>
        <w:t>致：福建省宏瑞招标代理有限公司</w:t>
      </w:r>
    </w:p>
    <w:p>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公告（项目编号：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致：福建省宏瑞招标代理有限公司</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hint="eastAsia" w:ascii="宋体" w:hAnsi="宋体"/>
          <w:color w:val="auto"/>
          <w:sz w:val="24"/>
          <w:highlight w:val="none"/>
          <w:lang w:val="en-US" w:eastAsia="zh-CN"/>
        </w:rPr>
        <w:t xml:space="preserve">        </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pPr>
        <w:spacing w:line="500" w:lineRule="exact"/>
        <w:rPr>
          <w:rFonts w:ascii="宋体" w:hAnsi="宋体"/>
          <w:color w:val="auto"/>
          <w:sz w:val="24"/>
          <w:highlight w:val="none"/>
        </w:rPr>
      </w:pPr>
    </w:p>
    <w:p>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ind w:firstLine="241" w:firstLineChars="100"/>
        <w:rPr>
          <w:rFonts w:ascii="宋体" w:hAnsi="宋体" w:cs="宋体"/>
          <w:b/>
          <w:color w:val="auto"/>
          <w:kern w:val="0"/>
          <w:sz w:val="24"/>
          <w:highlight w:val="none"/>
        </w:rPr>
      </w:pPr>
    </w:p>
    <w:p>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pPr>
        <w:rPr>
          <w:rFonts w:ascii="宋体" w:hAnsi="宋体"/>
          <w:b/>
          <w:color w:val="auto"/>
          <w:sz w:val="24"/>
          <w:szCs w:val="24"/>
          <w:highlight w:val="none"/>
        </w:rPr>
      </w:pPr>
    </w:p>
    <w:p>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pPr>
        <w:spacing w:line="380" w:lineRule="exact"/>
        <w:rPr>
          <w:rFonts w:ascii="宋体" w:hAnsi="宋体"/>
          <w:color w:val="auto"/>
          <w:sz w:val="24"/>
          <w:szCs w:val="24"/>
          <w:highlight w:val="none"/>
        </w:rPr>
      </w:pPr>
    </w:p>
    <w:p>
      <w:pPr>
        <w:spacing w:line="360" w:lineRule="exact"/>
        <w:rPr>
          <w:rFonts w:ascii="宋体" w:hAnsi="宋体"/>
          <w:color w:val="auto"/>
          <w:sz w:val="24"/>
          <w:szCs w:val="24"/>
          <w:highlight w:val="none"/>
        </w:rPr>
      </w:pPr>
    </w:p>
    <w:p>
      <w:pPr>
        <w:spacing w:line="36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highlight w:val="none"/>
          <w:u w:val="single"/>
        </w:rPr>
        <w:t>福建省宏瑞招标代理有限公司</w:t>
      </w:r>
    </w:p>
    <w:p>
      <w:pPr>
        <w:spacing w:line="360" w:lineRule="exact"/>
        <w:rPr>
          <w:rFonts w:ascii="宋体" w:hAnsi="宋体"/>
          <w:color w:val="auto"/>
          <w:sz w:val="24"/>
          <w:szCs w:val="24"/>
          <w:highlight w:val="none"/>
        </w:rPr>
      </w:pP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邮 编：</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电 话：</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传 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日 期： </w:t>
      </w: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r>
        <w:rPr>
          <w:rFonts w:hint="eastAsia" w:ascii="宋体" w:hAnsi="宋体" w:cs="宋体"/>
          <w:color w:val="auto"/>
          <w:sz w:val="24"/>
          <w:highlight w:val="none"/>
        </w:rPr>
        <w:t>福建省宏瑞招标代理有限公司</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s="宋体"/>
          <w:color w:val="auto"/>
          <w:sz w:val="24"/>
          <w:highlight w:val="none"/>
        </w:rPr>
        <w:t>中国建设银行股份有限公司福州市杨桥支行</w:t>
      </w:r>
    </w:p>
    <w:p>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r>
        <w:rPr>
          <w:rFonts w:hint="eastAsia" w:ascii="宋体" w:hAnsi="宋体" w:cs="宋体"/>
          <w:color w:val="auto"/>
          <w:sz w:val="24"/>
          <w:highlight w:val="none"/>
        </w:rPr>
        <w:t>35001877607052505105</w:t>
      </w:r>
    </w:p>
    <w:p>
      <w:pPr>
        <w:spacing w:line="360" w:lineRule="exact"/>
        <w:ind w:firstLine="470" w:firstLineChars="196"/>
        <w:rPr>
          <w:rFonts w:ascii="宋体" w:hAnsi="宋体"/>
          <w:color w:val="auto"/>
          <w:kern w:val="0"/>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4</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52</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b/>
        <w:bCs/>
        <w:sz w:val="21"/>
        <w:szCs w:val="21"/>
        <w:shd w:val="clear" w:color="FFFFFF" w:fill="D9D9D9"/>
      </w:rPr>
    </w:pPr>
    <w:r>
      <w:rPr>
        <w:rFonts w:hint="eastAsia"/>
        <w:b/>
        <w:bCs/>
        <w:sz w:val="21"/>
        <w:szCs w:val="21"/>
      </w:rPr>
      <w:t>福建省宏瑞招标代理有限公司网上竞价文件2023年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jc w:val="left"/>
      <w:rPr>
        <w:sz w:val="21"/>
        <w:szCs w:val="21"/>
      </w:rPr>
    </w:pPr>
  </w:p>
  <w:p>
    <w:pPr>
      <w:pStyle w:val="15"/>
      <w:jc w:val="left"/>
      <w:rPr>
        <w:b/>
        <w:bCs/>
        <w:sz w:val="21"/>
        <w:szCs w:val="21"/>
        <w:shd w:val="clear" w:color="FFFFFF" w:fill="D9D9D9"/>
      </w:rPr>
    </w:pPr>
    <w:r>
      <w:rPr>
        <w:rFonts w:hint="eastAsia"/>
        <w:b/>
        <w:bCs/>
        <w:sz w:val="21"/>
        <w:szCs w:val="21"/>
      </w:rPr>
      <w:t>福建省宏瑞招标代理有限公司网上竞价文件2023年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jc w:val="left"/>
      <w:rPr>
        <w:sz w:val="21"/>
        <w:szCs w:val="21"/>
      </w:rPr>
    </w:pPr>
  </w:p>
  <w:p>
    <w:pPr>
      <w:pStyle w:val="15"/>
      <w:jc w:val="left"/>
      <w:rPr>
        <w:sz w:val="21"/>
        <w:szCs w:val="21"/>
      </w:rPr>
    </w:pPr>
  </w:p>
  <w:p>
    <w:pPr>
      <w:pStyle w:val="15"/>
      <w:jc w:val="left"/>
      <w:rPr>
        <w:b/>
        <w:bCs/>
        <w:sz w:val="21"/>
        <w:szCs w:val="21"/>
        <w:shd w:val="clear" w:color="FFFFFF" w:fill="D9D9D9"/>
      </w:rPr>
    </w:pPr>
    <w:r>
      <w:rPr>
        <w:rFonts w:hint="eastAsia"/>
        <w:b/>
        <w:bCs/>
        <w:sz w:val="21"/>
        <w:szCs w:val="21"/>
      </w:rPr>
      <w:t>福建省宏瑞招标代理有限公司网上竞价文件2023年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DC9A8DA6"/>
    <w:multiLevelType w:val="singleLevel"/>
    <w:tmpl w:val="DC9A8DA6"/>
    <w:lvl w:ilvl="0" w:tentative="0">
      <w:start w:val="1"/>
      <w:numFmt w:val="decimal"/>
      <w:suff w:val="nothing"/>
      <w:lvlText w:val="%1、"/>
      <w:lvlJc w:val="left"/>
    </w:lvl>
  </w:abstractNum>
  <w:abstractNum w:abstractNumId="2">
    <w:nsid w:val="EBCE703D"/>
    <w:multiLevelType w:val="singleLevel"/>
    <w:tmpl w:val="EBCE703D"/>
    <w:lvl w:ilvl="0" w:tentative="0">
      <w:start w:val="1"/>
      <w:numFmt w:val="decimal"/>
      <w:suff w:val="nothing"/>
      <w:lvlText w:val="%1、"/>
      <w:lvlJc w:val="left"/>
      <w:pPr>
        <w:ind w:left="-61"/>
      </w:pPr>
    </w:lvl>
  </w:abstractNum>
  <w:abstractNum w:abstractNumId="3">
    <w:nsid w:val="150419FC"/>
    <w:multiLevelType w:val="singleLevel"/>
    <w:tmpl w:val="150419FC"/>
    <w:lvl w:ilvl="0" w:tentative="0">
      <w:start w:val="1"/>
      <w:numFmt w:val="decimal"/>
      <w:suff w:val="nothing"/>
      <w:lvlText w:val="%1、"/>
      <w:lvlJc w:val="left"/>
      <w:pPr>
        <w:ind w:left="-60"/>
      </w:pPr>
    </w:lvl>
  </w:abstractNum>
  <w:abstractNum w:abstractNumId="4">
    <w:nsid w:val="38DFBADD"/>
    <w:multiLevelType w:val="singleLevel"/>
    <w:tmpl w:val="38DFBADD"/>
    <w:lvl w:ilvl="0" w:tentative="0">
      <w:start w:val="2"/>
      <w:numFmt w:val="decimal"/>
      <w:suff w:val="nothing"/>
      <w:lvlText w:val="（%1）"/>
      <w:lvlJc w:val="left"/>
    </w:lvl>
  </w:abstractNum>
  <w:abstractNum w:abstractNumId="5">
    <w:nsid w:val="71E25363"/>
    <w:multiLevelType w:val="singleLevel"/>
    <w:tmpl w:val="71E25363"/>
    <w:lvl w:ilvl="0" w:tentative="0">
      <w:start w:val="8"/>
      <w:numFmt w:val="decimal"/>
      <w:suff w:val="nothing"/>
      <w:lvlText w:val="%1、"/>
      <w:lvlJc w:val="left"/>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5YTZiODMyYjMwZTg5ZWJmODUzNWJjYzU2MmZiY2E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B5D"/>
    <w:rsid w:val="00047F2A"/>
    <w:rsid w:val="00050A4D"/>
    <w:rsid w:val="0005333F"/>
    <w:rsid w:val="00053ED1"/>
    <w:rsid w:val="0005562E"/>
    <w:rsid w:val="00055747"/>
    <w:rsid w:val="00056064"/>
    <w:rsid w:val="0005690D"/>
    <w:rsid w:val="00057D87"/>
    <w:rsid w:val="00057DD8"/>
    <w:rsid w:val="000600B0"/>
    <w:rsid w:val="00061625"/>
    <w:rsid w:val="000622ED"/>
    <w:rsid w:val="000633E3"/>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497B"/>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30F"/>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4FF"/>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9BE"/>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0E22"/>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1D4D"/>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67C32"/>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C520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4E3"/>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27BF"/>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171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9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B7A27"/>
    <w:rsid w:val="00AC192A"/>
    <w:rsid w:val="00AC3BEB"/>
    <w:rsid w:val="00AD14E8"/>
    <w:rsid w:val="00AD3E06"/>
    <w:rsid w:val="00AD7447"/>
    <w:rsid w:val="00AD773F"/>
    <w:rsid w:val="00AD7EF0"/>
    <w:rsid w:val="00AD7F83"/>
    <w:rsid w:val="00AE0678"/>
    <w:rsid w:val="00AE1FB7"/>
    <w:rsid w:val="00AE4385"/>
    <w:rsid w:val="00AE4944"/>
    <w:rsid w:val="00AE4F74"/>
    <w:rsid w:val="00AE68AF"/>
    <w:rsid w:val="00AE6E90"/>
    <w:rsid w:val="00AE77F2"/>
    <w:rsid w:val="00AE7970"/>
    <w:rsid w:val="00AE7DD4"/>
    <w:rsid w:val="00AF25DE"/>
    <w:rsid w:val="00AF2C1A"/>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0D8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2ED"/>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34BC"/>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493"/>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78F"/>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5FF6"/>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2E39"/>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457"/>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3EC3401"/>
    <w:rsid w:val="0AB94687"/>
    <w:rsid w:val="0FB742DA"/>
    <w:rsid w:val="131D1F3C"/>
    <w:rsid w:val="203F4877"/>
    <w:rsid w:val="25DA0FBA"/>
    <w:rsid w:val="2D9207A9"/>
    <w:rsid w:val="37C91FA2"/>
    <w:rsid w:val="383755C6"/>
    <w:rsid w:val="3C0112CA"/>
    <w:rsid w:val="436332AB"/>
    <w:rsid w:val="4EDD56E9"/>
    <w:rsid w:val="53BA1940"/>
    <w:rsid w:val="5FD173D5"/>
    <w:rsid w:val="652A30AC"/>
    <w:rsid w:val="6ACE38B7"/>
    <w:rsid w:val="6FC52E16"/>
    <w:rsid w:val="75EA6326"/>
    <w:rsid w:val="76ED2FFA"/>
    <w:rsid w:val="77A430A3"/>
    <w:rsid w:val="77C123CE"/>
    <w:rsid w:val="7B2E43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8">
    <w:name w:val="heading 3"/>
    <w:basedOn w:val="7"/>
    <w:next w:val="1"/>
    <w:link w:val="28"/>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rPr>
  </w:style>
  <w:style w:type="paragraph" w:styleId="3">
    <w:name w:val="Body Text"/>
    <w:basedOn w:val="1"/>
    <w:next w:val="1"/>
    <w:link w:val="32"/>
    <w:qFormat/>
    <w:uiPriority w:val="0"/>
    <w:pPr>
      <w:spacing w:after="120"/>
    </w:pPr>
  </w:style>
  <w:style w:type="paragraph" w:styleId="4">
    <w:name w:val="Body Text First Indent 2"/>
    <w:basedOn w:val="5"/>
    <w:link w:val="40"/>
    <w:qFormat/>
    <w:uiPriority w:val="99"/>
    <w:pPr>
      <w:spacing w:after="120"/>
      <w:ind w:left="420" w:leftChars="200" w:firstLine="420" w:firstLineChars="200"/>
    </w:pPr>
    <w:rPr>
      <w:rFonts w:ascii="Times New Roman" w:eastAsia="宋体"/>
      <w:sz w:val="21"/>
      <w:szCs w:val="24"/>
    </w:rPr>
  </w:style>
  <w:style w:type="paragraph" w:styleId="5">
    <w:name w:val="Body Text Indent"/>
    <w:basedOn w:val="1"/>
    <w:next w:val="6"/>
    <w:link w:val="34"/>
    <w:qFormat/>
    <w:uiPriority w:val="99"/>
    <w:pPr>
      <w:ind w:firstLine="645"/>
    </w:pPr>
    <w:rPr>
      <w:rFonts w:ascii="楷体_GB2312" w:eastAsia="楷体_GB2312"/>
      <w:sz w:val="32"/>
    </w:rPr>
  </w:style>
  <w:style w:type="paragraph" w:styleId="6">
    <w:name w:val="envelope return"/>
    <w:basedOn w:val="1"/>
    <w:qFormat/>
    <w:uiPriority w:val="99"/>
    <w:pPr>
      <w:snapToGrid w:val="0"/>
    </w:pPr>
    <w:rPr>
      <w:rFonts w:ascii="Arial" w:hAnsi="Arial" w:cs="Arial"/>
    </w:rPr>
  </w:style>
  <w:style w:type="paragraph" w:styleId="9">
    <w:name w:val="Document Map"/>
    <w:basedOn w:val="1"/>
    <w:link w:val="29"/>
    <w:semiHidden/>
    <w:qFormat/>
    <w:uiPriority w:val="0"/>
    <w:pPr>
      <w:shd w:val="clear" w:color="auto" w:fill="000080"/>
    </w:pPr>
  </w:style>
  <w:style w:type="paragraph" w:styleId="10">
    <w:name w:val="annotation text"/>
    <w:basedOn w:val="1"/>
    <w:link w:val="30"/>
    <w:qFormat/>
    <w:uiPriority w:val="0"/>
    <w:pPr>
      <w:jc w:val="left"/>
    </w:pPr>
  </w:style>
  <w:style w:type="paragraph" w:styleId="11">
    <w:name w:val="Closing"/>
    <w:basedOn w:val="1"/>
    <w:link w:val="31"/>
    <w:unhideWhenUsed/>
    <w:qFormat/>
    <w:uiPriority w:val="0"/>
    <w:pPr>
      <w:ind w:left="100" w:leftChars="2100"/>
    </w:pPr>
    <w:rPr>
      <w:szCs w:val="24"/>
    </w:rPr>
  </w:style>
  <w:style w:type="paragraph" w:styleId="12">
    <w:name w:val="Plain Text"/>
    <w:basedOn w:val="1"/>
    <w:link w:val="33"/>
    <w:qFormat/>
    <w:uiPriority w:val="0"/>
    <w:rPr>
      <w:rFonts w:ascii="宋体" w:hAnsi="Courier New"/>
    </w:rPr>
  </w:style>
  <w:style w:type="paragraph" w:styleId="13">
    <w:name w:val="Balloon Text"/>
    <w:basedOn w:val="1"/>
    <w:link w:val="35"/>
    <w:qFormat/>
    <w:uiPriority w:val="0"/>
    <w:rPr>
      <w:sz w:val="18"/>
      <w:szCs w:val="18"/>
    </w:rPr>
  </w:style>
  <w:style w:type="paragraph" w:styleId="14">
    <w:name w:val="footer"/>
    <w:basedOn w:val="1"/>
    <w:next w:val="1"/>
    <w:link w:val="36"/>
    <w:qFormat/>
    <w:uiPriority w:val="0"/>
    <w:pPr>
      <w:tabs>
        <w:tab w:val="center" w:pos="4153"/>
        <w:tab w:val="right" w:pos="8306"/>
      </w:tabs>
      <w:snapToGrid w:val="0"/>
      <w:jc w:val="left"/>
    </w:pPr>
    <w:rPr>
      <w:sz w:val="18"/>
      <w:szCs w:val="18"/>
    </w:rPr>
  </w:style>
  <w:style w:type="paragraph" w:styleId="15">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6">
    <w:name w:val="table of figures"/>
    <w:basedOn w:val="1"/>
    <w:next w:val="1"/>
    <w:qFormat/>
    <w:uiPriority w:val="0"/>
    <w:pPr>
      <w:ind w:left="200" w:leftChars="200" w:hanging="200" w:hangingChars="200"/>
    </w:pPr>
  </w:style>
  <w:style w:type="paragraph" w:styleId="17">
    <w:name w:val="Body Text 2"/>
    <w:basedOn w:val="1"/>
    <w:link w:val="38"/>
    <w:qFormat/>
    <w:uiPriority w:val="0"/>
    <w:pPr>
      <w:spacing w:after="120" w:line="480" w:lineRule="auto"/>
    </w:pPr>
  </w:style>
  <w:style w:type="paragraph" w:styleId="18">
    <w:name w:val="Normal (Web)"/>
    <w:basedOn w:val="1"/>
    <w:qFormat/>
    <w:uiPriority w:val="99"/>
    <w:pPr>
      <w:spacing w:before="100" w:beforeAutospacing="1" w:after="100" w:afterAutospacing="1"/>
      <w:jc w:val="left"/>
    </w:pPr>
    <w:rPr>
      <w:kern w:val="0"/>
      <w:sz w:val="24"/>
    </w:rPr>
  </w:style>
  <w:style w:type="paragraph" w:styleId="19">
    <w:name w:val="annotation subject"/>
    <w:basedOn w:val="10"/>
    <w:next w:val="10"/>
    <w:link w:val="39"/>
    <w:qFormat/>
    <w:uiPriority w:val="0"/>
    <w:rPr>
      <w:b/>
      <w:bCs/>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字符"/>
    <w:basedOn w:val="22"/>
    <w:link w:val="7"/>
    <w:qFormat/>
    <w:uiPriority w:val="0"/>
    <w:rPr>
      <w:rFonts w:ascii="Times New Roman" w:hAnsi="Times New Roman" w:eastAsia="黑体" w:cs="Times New Roman"/>
      <w:b/>
      <w:kern w:val="44"/>
      <w:sz w:val="36"/>
      <w:szCs w:val="20"/>
    </w:rPr>
  </w:style>
  <w:style w:type="character" w:customStyle="1" w:styleId="28">
    <w:name w:val="标题 3 字符"/>
    <w:basedOn w:val="22"/>
    <w:link w:val="8"/>
    <w:qFormat/>
    <w:uiPriority w:val="0"/>
    <w:rPr>
      <w:rFonts w:ascii="Times New Roman" w:hAnsi="Times New Roman" w:eastAsia="黑体" w:cs="Times New Roman"/>
      <w:b/>
      <w:kern w:val="44"/>
      <w:sz w:val="32"/>
      <w:szCs w:val="20"/>
    </w:rPr>
  </w:style>
  <w:style w:type="character" w:customStyle="1" w:styleId="29">
    <w:name w:val="文档结构图 字符"/>
    <w:basedOn w:val="22"/>
    <w:link w:val="9"/>
    <w:semiHidden/>
    <w:qFormat/>
    <w:uiPriority w:val="0"/>
    <w:rPr>
      <w:rFonts w:ascii="Times New Roman" w:hAnsi="Times New Roman" w:eastAsia="宋体" w:cs="Times New Roman"/>
      <w:szCs w:val="20"/>
      <w:shd w:val="clear" w:color="auto" w:fill="000080"/>
    </w:rPr>
  </w:style>
  <w:style w:type="character" w:customStyle="1" w:styleId="30">
    <w:name w:val="批注文字 字符"/>
    <w:basedOn w:val="22"/>
    <w:link w:val="10"/>
    <w:qFormat/>
    <w:uiPriority w:val="0"/>
    <w:rPr>
      <w:rFonts w:ascii="Times New Roman" w:hAnsi="Times New Roman" w:eastAsia="宋体" w:cs="Times New Roman"/>
      <w:szCs w:val="20"/>
    </w:rPr>
  </w:style>
  <w:style w:type="character" w:customStyle="1" w:styleId="31">
    <w:name w:val="结束语 字符"/>
    <w:basedOn w:val="22"/>
    <w:link w:val="11"/>
    <w:qFormat/>
    <w:uiPriority w:val="0"/>
    <w:rPr>
      <w:rFonts w:ascii="Times New Roman" w:hAnsi="Times New Roman" w:eastAsia="宋体" w:cs="Times New Roman"/>
      <w:szCs w:val="24"/>
    </w:rPr>
  </w:style>
  <w:style w:type="character" w:customStyle="1" w:styleId="32">
    <w:name w:val="正文文本 字符"/>
    <w:basedOn w:val="22"/>
    <w:link w:val="3"/>
    <w:qFormat/>
    <w:uiPriority w:val="0"/>
    <w:rPr>
      <w:rFonts w:ascii="Times New Roman" w:hAnsi="Times New Roman" w:eastAsia="宋体" w:cs="Times New Roman"/>
      <w:szCs w:val="20"/>
    </w:rPr>
  </w:style>
  <w:style w:type="character" w:customStyle="1" w:styleId="33">
    <w:name w:val="纯文本 字符"/>
    <w:basedOn w:val="22"/>
    <w:link w:val="12"/>
    <w:qFormat/>
    <w:uiPriority w:val="0"/>
    <w:rPr>
      <w:rFonts w:ascii="宋体" w:hAnsi="Courier New" w:eastAsia="宋体" w:cs="Times New Roman"/>
      <w:szCs w:val="20"/>
    </w:rPr>
  </w:style>
  <w:style w:type="character" w:customStyle="1" w:styleId="34">
    <w:name w:val="正文文本缩进 字符"/>
    <w:basedOn w:val="22"/>
    <w:link w:val="5"/>
    <w:qFormat/>
    <w:uiPriority w:val="99"/>
    <w:rPr>
      <w:rFonts w:ascii="楷体_GB2312" w:hAnsi="Times New Roman" w:eastAsia="楷体_GB2312" w:cs="Times New Roman"/>
      <w:sz w:val="32"/>
      <w:szCs w:val="20"/>
    </w:rPr>
  </w:style>
  <w:style w:type="character" w:customStyle="1" w:styleId="35">
    <w:name w:val="批注框文本 字符"/>
    <w:basedOn w:val="22"/>
    <w:link w:val="13"/>
    <w:qFormat/>
    <w:uiPriority w:val="0"/>
    <w:rPr>
      <w:rFonts w:ascii="Times New Roman" w:hAnsi="Times New Roman" w:eastAsia="宋体" w:cs="Times New Roman"/>
      <w:sz w:val="18"/>
      <w:szCs w:val="18"/>
    </w:rPr>
  </w:style>
  <w:style w:type="character" w:customStyle="1" w:styleId="36">
    <w:name w:val="页脚 字符"/>
    <w:basedOn w:val="22"/>
    <w:link w:val="14"/>
    <w:qFormat/>
    <w:uiPriority w:val="0"/>
    <w:rPr>
      <w:rFonts w:ascii="Times New Roman" w:hAnsi="Times New Roman" w:eastAsia="宋体" w:cs="Times New Roman"/>
      <w:sz w:val="18"/>
      <w:szCs w:val="18"/>
    </w:rPr>
  </w:style>
  <w:style w:type="character" w:customStyle="1" w:styleId="37">
    <w:name w:val="页眉 字符"/>
    <w:basedOn w:val="22"/>
    <w:link w:val="15"/>
    <w:qFormat/>
    <w:uiPriority w:val="0"/>
    <w:rPr>
      <w:rFonts w:ascii="Times New Roman" w:hAnsi="Times New Roman" w:eastAsia="宋体" w:cs="Times New Roman"/>
      <w:sz w:val="18"/>
      <w:szCs w:val="18"/>
    </w:rPr>
  </w:style>
  <w:style w:type="character" w:customStyle="1" w:styleId="38">
    <w:name w:val="正文文本 2 字符"/>
    <w:basedOn w:val="22"/>
    <w:link w:val="17"/>
    <w:qFormat/>
    <w:uiPriority w:val="0"/>
    <w:rPr>
      <w:rFonts w:ascii="Times New Roman" w:hAnsi="Times New Roman" w:eastAsia="宋体" w:cs="Times New Roman"/>
      <w:szCs w:val="20"/>
    </w:rPr>
  </w:style>
  <w:style w:type="character" w:customStyle="1" w:styleId="39">
    <w:name w:val="批注主题 字符"/>
    <w:basedOn w:val="30"/>
    <w:link w:val="19"/>
    <w:qFormat/>
    <w:uiPriority w:val="0"/>
    <w:rPr>
      <w:rFonts w:ascii="Times New Roman" w:hAnsi="Times New Roman" w:eastAsia="宋体" w:cs="Times New Roman"/>
      <w:b/>
      <w:bCs/>
      <w:szCs w:val="20"/>
    </w:rPr>
  </w:style>
  <w:style w:type="character" w:customStyle="1" w:styleId="40">
    <w:name w:val="正文文本首行缩进 2 字符"/>
    <w:basedOn w:val="34"/>
    <w:link w:val="4"/>
    <w:qFormat/>
    <w:uiPriority w:val="99"/>
    <w:rPr>
      <w:rFonts w:ascii="Times New Roman" w:hAnsi="Times New Roman" w:eastAsia="宋体" w:cs="Times New Roman"/>
      <w:sz w:val="32"/>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9"/>
    <w:qFormat/>
    <w:uiPriority w:val="0"/>
    <w:pPr>
      <w:adjustRightInd w:val="0"/>
      <w:snapToGrid w:val="0"/>
      <w:spacing w:line="360" w:lineRule="auto"/>
    </w:pPr>
  </w:style>
  <w:style w:type="paragraph" w:customStyle="1" w:styleId="43">
    <w:name w:val="样式3"/>
    <w:basedOn w:val="12"/>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6"/>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1"/>
    <w:basedOn w:val="1"/>
    <w:qFormat/>
    <w:uiPriority w:val="34"/>
    <w:pPr>
      <w:ind w:firstLine="420" w:firstLineChars="200"/>
    </w:pPr>
    <w:rPr>
      <w:rFonts w:ascii="Calibri" w:hAnsi="Calibri"/>
      <w:szCs w:val="22"/>
    </w:rPr>
  </w:style>
  <w:style w:type="paragraph" w:customStyle="1" w:styleId="48">
    <w:name w:val="列表段落11"/>
    <w:basedOn w:val="1"/>
    <w:qFormat/>
    <w:uiPriority w:val="0"/>
    <w:pPr>
      <w:ind w:firstLine="420" w:firstLineChars="200"/>
    </w:pPr>
    <w:rPr>
      <w:rFonts w:cs="黑体"/>
      <w:szCs w:val="22"/>
    </w:rPr>
  </w:style>
  <w:style w:type="paragraph" w:customStyle="1" w:styleId="49">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0">
    <w:name w:val="null3"/>
    <w:qFormat/>
    <w:uiPriority w:val="0"/>
    <w:rPr>
      <w:rFonts w:hint="eastAsia" w:ascii="Calibri" w:hAnsi="Calibri" w:eastAsia="宋体" w:cs="Times New Roman"/>
      <w:lang w:val="en-US" w:eastAsia="zh-CN" w:bidi="ar-SA"/>
    </w:rPr>
  </w:style>
  <w:style w:type="character" w:customStyle="1" w:styleId="51">
    <w:name w:val="NormalCharacter"/>
    <w:semiHidden/>
    <w:qFormat/>
    <w:uiPriority w:val="0"/>
    <w:rPr>
      <w:kern w:val="2"/>
      <w:sz w:val="21"/>
      <w:szCs w:val="24"/>
      <w:lang w:val="en-US" w:eastAsia="zh-CN" w:bidi="ar-SA"/>
    </w:rPr>
  </w:style>
  <w:style w:type="paragraph" w:customStyle="1" w:styleId="52">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53">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A22C6-6080-4E25-8985-CF9AD77092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21808</Words>
  <Characters>23163</Characters>
  <Lines>183</Lines>
  <Paragraphs>51</Paragraphs>
  <TotalTime>5</TotalTime>
  <ScaleCrop>false</ScaleCrop>
  <LinksUpToDate>false</LinksUpToDate>
  <CharactersWithSpaces>24163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2023-07-17T06:50:00Z</dcterms:created>
  <dc:creator>Administrator</dc:creator>
  <cp:lastModifiedBy>呆</cp:lastModifiedBy>
  <cp:lastPrinted>2023-07-19T01:48:00Z</cp:lastPrinted>
  <dcterms:modified xsi:type="dcterms:W3CDTF">2023-07-25T01:31:11Z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1397A2A70AC942CE90BCD76A1BF4B515_13</vt:lpwstr>
  </property>
</Properties>
</file>