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1400" w:lineRule="exact"/>
        <w:jc w:val="center"/>
        <w:rPr>
          <w:rFonts w:ascii="宋体" w:hAnsi="宋体"/>
          <w:b/>
          <w:bCs/>
          <w:sz w:val="96"/>
          <w:szCs w:val="96"/>
        </w:rPr>
      </w:pPr>
    </w:p>
    <w:p>
      <w:pPr>
        <w:autoSpaceDE w:val="0"/>
        <w:autoSpaceDN w:val="0"/>
        <w:adjustRightInd w:val="0"/>
        <w:spacing w:line="1400" w:lineRule="exact"/>
        <w:jc w:val="center"/>
        <w:rPr>
          <w:rFonts w:ascii="宋体" w:hAnsi="宋体"/>
          <w:b/>
          <w:bCs/>
          <w:sz w:val="96"/>
          <w:szCs w:val="96"/>
        </w:rPr>
      </w:pPr>
      <w:r>
        <w:rPr>
          <w:rFonts w:hint="eastAsia" w:ascii="宋体" w:hAnsi="宋体"/>
          <w:b/>
          <w:bCs/>
          <w:sz w:val="96"/>
          <w:szCs w:val="96"/>
        </w:rPr>
        <w:t>福建农林大学</w:t>
      </w:r>
    </w:p>
    <w:p>
      <w:pPr>
        <w:autoSpaceDE w:val="0"/>
        <w:autoSpaceDN w:val="0"/>
        <w:adjustRightInd w:val="0"/>
        <w:spacing w:line="1400" w:lineRule="exact"/>
        <w:jc w:val="center"/>
        <w:rPr>
          <w:rFonts w:ascii="宋体" w:hAnsi="宋体"/>
          <w:b/>
          <w:bCs/>
          <w:sz w:val="96"/>
          <w:szCs w:val="96"/>
        </w:rPr>
      </w:pPr>
      <w:r>
        <w:rPr>
          <w:rFonts w:hint="eastAsia" w:ascii="宋体" w:hAnsi="宋体"/>
          <w:b/>
          <w:bCs/>
          <w:sz w:val="96"/>
          <w:szCs w:val="96"/>
        </w:rPr>
        <w:t>网上竞价文件</w:t>
      </w:r>
    </w:p>
    <w:p>
      <w:pPr>
        <w:autoSpaceDE w:val="0"/>
        <w:autoSpaceDN w:val="0"/>
        <w:adjustRightInd w:val="0"/>
        <w:spacing w:line="500" w:lineRule="atLeast"/>
        <w:jc w:val="center"/>
        <w:rPr>
          <w:rFonts w:ascii="宋体" w:hAnsi="宋体"/>
          <w:b/>
          <w:bCs/>
          <w:sz w:val="36"/>
          <w:szCs w:val="36"/>
        </w:rPr>
      </w:pPr>
    </w:p>
    <w:p>
      <w:pPr>
        <w:pStyle w:val="8"/>
        <w:jc w:val="center"/>
      </w:pPr>
    </w:p>
    <w:p>
      <w:pPr>
        <w:autoSpaceDE w:val="0"/>
        <w:autoSpaceDN w:val="0"/>
        <w:adjustRightInd w:val="0"/>
        <w:spacing w:line="500" w:lineRule="atLeast"/>
        <w:jc w:val="center"/>
        <w:rPr>
          <w:rFonts w:ascii="宋体" w:hAnsi="宋体"/>
          <w:b/>
          <w:bCs/>
          <w:sz w:val="36"/>
          <w:szCs w:val="36"/>
        </w:rPr>
      </w:pPr>
    </w:p>
    <w:p>
      <w:pPr>
        <w:autoSpaceDE w:val="0"/>
        <w:autoSpaceDN w:val="0"/>
        <w:adjustRightInd w:val="0"/>
        <w:spacing w:line="360" w:lineRule="auto"/>
        <w:jc w:val="center"/>
        <w:rPr>
          <w:rFonts w:ascii="宋体" w:hAnsi="宋体"/>
          <w:b/>
          <w:bCs/>
          <w:sz w:val="30"/>
          <w:szCs w:val="30"/>
          <w:lang w:val="zh-CN"/>
        </w:rPr>
      </w:pPr>
    </w:p>
    <w:p>
      <w:pPr>
        <w:autoSpaceDE w:val="0"/>
        <w:autoSpaceDN w:val="0"/>
        <w:adjustRightInd w:val="0"/>
        <w:spacing w:line="800" w:lineRule="exact"/>
        <w:ind w:left="1050" w:leftChars="500"/>
        <w:rPr>
          <w:rFonts w:ascii="宋体" w:hAnsi="宋体"/>
          <w:b/>
          <w:bCs/>
          <w:sz w:val="30"/>
          <w:szCs w:val="30"/>
        </w:rPr>
      </w:pPr>
      <w:r>
        <w:rPr>
          <w:rFonts w:hint="eastAsia" w:ascii="宋体" w:hAnsi="宋体"/>
          <w:b/>
          <w:bCs/>
          <w:sz w:val="30"/>
          <w:szCs w:val="30"/>
          <w:lang w:val="zh-CN"/>
        </w:rPr>
        <w:t>项目编号：</w:t>
      </w:r>
      <w:r>
        <w:rPr>
          <w:rFonts w:hint="eastAsia" w:ascii="宋体" w:hAnsi="宋体"/>
          <w:b/>
          <w:bCs/>
          <w:sz w:val="30"/>
          <w:szCs w:val="30"/>
        </w:rPr>
        <w:t>FJHR-WJ2022150TX</w:t>
      </w:r>
    </w:p>
    <w:p>
      <w:pPr>
        <w:autoSpaceDE w:val="0"/>
        <w:autoSpaceDN w:val="0"/>
        <w:adjustRightInd w:val="0"/>
        <w:spacing w:line="800" w:lineRule="exact"/>
        <w:ind w:left="1050" w:leftChars="500"/>
        <w:rPr>
          <w:rFonts w:ascii="宋体" w:hAnsi="宋体"/>
          <w:b/>
          <w:bCs/>
          <w:sz w:val="30"/>
          <w:szCs w:val="30"/>
        </w:rPr>
      </w:pPr>
      <w:r>
        <w:rPr>
          <w:rFonts w:hint="eastAsia" w:ascii="宋体" w:hAnsi="宋体"/>
          <w:b/>
          <w:bCs/>
          <w:sz w:val="30"/>
          <w:szCs w:val="30"/>
          <w:lang w:val="zh-CN"/>
        </w:rPr>
        <w:t>项目名称：</w:t>
      </w:r>
      <w:r>
        <w:rPr>
          <w:rFonts w:hint="eastAsia" w:ascii="宋体" w:hAnsi="宋体"/>
          <w:b/>
          <w:bCs/>
          <w:sz w:val="30"/>
          <w:szCs w:val="30"/>
        </w:rPr>
        <w:t>福建农林大学安溪茶学院拼接处理系统采购项目</w:t>
      </w:r>
    </w:p>
    <w:p>
      <w:pPr>
        <w:pStyle w:val="4"/>
        <w:spacing w:after="0" w:line="800" w:lineRule="exact"/>
        <w:ind w:left="1050" w:leftChars="500" w:firstLine="0"/>
        <w:rPr>
          <w:rFonts w:ascii="宋体" w:hAnsi="宋体"/>
          <w:b/>
          <w:bCs/>
          <w:sz w:val="30"/>
          <w:szCs w:val="30"/>
        </w:rPr>
      </w:pPr>
      <w:r>
        <w:rPr>
          <w:rFonts w:hint="eastAsia" w:ascii="宋体" w:hAnsi="宋体"/>
          <w:b/>
          <w:bCs/>
          <w:sz w:val="30"/>
          <w:szCs w:val="30"/>
        </w:rPr>
        <w:t>采购人：福建农林大学</w:t>
      </w:r>
    </w:p>
    <w:p>
      <w:pPr>
        <w:pStyle w:val="4"/>
        <w:ind w:left="0" w:leftChars="0" w:firstLine="0"/>
        <w:jc w:val="center"/>
        <w:rPr>
          <w:rFonts w:ascii="宋体" w:hAnsi="宋体"/>
          <w:b/>
          <w:bCs/>
          <w:sz w:val="36"/>
          <w:szCs w:val="36"/>
        </w:rPr>
      </w:pPr>
    </w:p>
    <w:p>
      <w:pPr>
        <w:pStyle w:val="4"/>
        <w:ind w:left="0" w:leftChars="0" w:firstLine="0"/>
        <w:jc w:val="center"/>
        <w:rPr>
          <w:rFonts w:ascii="宋体" w:hAnsi="宋体"/>
          <w:b/>
          <w:bCs/>
          <w:sz w:val="36"/>
          <w:szCs w:val="36"/>
        </w:rPr>
      </w:pPr>
    </w:p>
    <w:p>
      <w:pPr>
        <w:wordWrap w:val="0"/>
        <w:spacing w:line="360" w:lineRule="auto"/>
        <w:jc w:val="center"/>
        <w:rPr>
          <w:rFonts w:ascii="宋体" w:hAnsi="宋体"/>
          <w:b/>
          <w:bCs/>
          <w:sz w:val="30"/>
          <w:szCs w:val="30"/>
        </w:rPr>
      </w:pPr>
      <w:r>
        <w:rPr>
          <w:rFonts w:hint="eastAsia" w:ascii="宋体" w:hAnsi="宋体"/>
          <w:b/>
          <w:bCs/>
          <w:sz w:val="30"/>
          <w:szCs w:val="30"/>
        </w:rPr>
        <w:t>福建省宏瑞招标代理有限公司</w:t>
      </w:r>
    </w:p>
    <w:p>
      <w:pPr>
        <w:wordWrap w:val="0"/>
        <w:spacing w:line="360" w:lineRule="auto"/>
        <w:jc w:val="center"/>
        <w:rPr>
          <w:rFonts w:ascii="宋体" w:hAnsi="宋体"/>
          <w:b/>
          <w:bCs/>
          <w:sz w:val="30"/>
          <w:szCs w:val="30"/>
        </w:rPr>
      </w:pPr>
    </w:p>
    <w:p>
      <w:pPr>
        <w:jc w:val="center"/>
        <w:rPr>
          <w:rFonts w:ascii="宋体" w:hAnsi="宋体"/>
          <w:b/>
          <w:bCs/>
          <w:sz w:val="30"/>
          <w:szCs w:val="30"/>
        </w:rPr>
      </w:pPr>
      <w:r>
        <w:rPr>
          <w:rFonts w:hint="eastAsia" w:ascii="宋体" w:hAnsi="宋体"/>
          <w:b/>
          <w:bCs/>
          <w:sz w:val="30"/>
          <w:szCs w:val="30"/>
        </w:rPr>
        <w:t>二○二二年十二月</w:t>
      </w: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sdt>
      <w:sdtPr>
        <w:rPr>
          <w:rFonts w:ascii="宋体" w:hAnsi="宋体"/>
        </w:rPr>
        <w:id w:val="147454079"/>
        <w:docPartObj>
          <w:docPartGallery w:val="Table of Contents"/>
          <w:docPartUnique/>
        </w:docPartObj>
      </w:sdtPr>
      <w:sdtEndPr>
        <w:rPr>
          <w:rFonts w:hint="eastAsia" w:ascii="宋体" w:hAnsi="宋体" w:cs="宋体"/>
          <w:bCs/>
          <w:kern w:val="0"/>
          <w:szCs w:val="32"/>
        </w:rPr>
      </w:sdtEndPr>
      <w:sdtContent>
        <w:p>
          <w:pPr>
            <w:spacing w:line="700" w:lineRule="exact"/>
            <w:jc w:val="center"/>
            <w:rPr>
              <w:rFonts w:ascii="宋体" w:hAnsi="宋体" w:cs="宋体"/>
              <w:sz w:val="28"/>
              <w:szCs w:val="28"/>
            </w:rPr>
          </w:pPr>
          <w:r>
            <w:rPr>
              <w:rFonts w:hint="eastAsia" w:ascii="宋体" w:hAnsi="宋体" w:cs="宋体"/>
              <w:sz w:val="28"/>
              <w:szCs w:val="28"/>
            </w:rPr>
            <w:t>目录</w:t>
          </w:r>
        </w:p>
        <w:p>
          <w:pPr>
            <w:pStyle w:val="16"/>
            <w:tabs>
              <w:tab w:val="right" w:leader="dot" w:pos="9723"/>
            </w:tabs>
            <w:spacing w:line="700" w:lineRule="exact"/>
            <w:rPr>
              <w:rFonts w:ascii="宋体" w:hAnsi="宋体" w:cs="宋体"/>
              <w:sz w:val="28"/>
              <w:szCs w:val="28"/>
            </w:rPr>
          </w:pPr>
          <w:r>
            <w:rPr>
              <w:rFonts w:hint="eastAsia" w:ascii="宋体" w:hAnsi="宋体" w:cs="宋体"/>
              <w:b/>
              <w:bCs/>
              <w:kern w:val="0"/>
              <w:sz w:val="28"/>
              <w:szCs w:val="28"/>
            </w:rPr>
            <w:fldChar w:fldCharType="begin"/>
          </w:r>
          <w:r>
            <w:rPr>
              <w:rFonts w:hint="eastAsia" w:ascii="宋体" w:hAnsi="宋体" w:cs="宋体"/>
              <w:b/>
              <w:bCs/>
              <w:kern w:val="0"/>
              <w:sz w:val="28"/>
              <w:szCs w:val="28"/>
            </w:rPr>
            <w:instrText xml:space="preserve">TOC \o "1-1" \h \u </w:instrText>
          </w:r>
          <w:r>
            <w:rPr>
              <w:rFonts w:hint="eastAsia" w:ascii="宋体" w:hAnsi="宋体" w:cs="宋体"/>
              <w:b/>
              <w:bCs/>
              <w:kern w:val="0"/>
              <w:sz w:val="28"/>
              <w:szCs w:val="28"/>
            </w:rPr>
            <w:fldChar w:fldCharType="separate"/>
          </w:r>
          <w:r>
            <w:fldChar w:fldCharType="begin"/>
          </w:r>
          <w:r>
            <w:instrText xml:space="preserve"> HYPERLINK \l "_Toc18236" </w:instrText>
          </w:r>
          <w:r>
            <w:fldChar w:fldCharType="separate"/>
          </w:r>
          <w:r>
            <w:rPr>
              <w:rFonts w:hint="eastAsia" w:ascii="宋体" w:hAnsi="宋体" w:cs="宋体"/>
              <w:bCs/>
              <w:kern w:val="0"/>
              <w:sz w:val="28"/>
              <w:szCs w:val="28"/>
            </w:rPr>
            <w:t>第一章 竞价须知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_Toc18236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16"/>
            <w:tabs>
              <w:tab w:val="right" w:leader="dot" w:pos="9723"/>
            </w:tabs>
            <w:spacing w:line="700" w:lineRule="exact"/>
            <w:rPr>
              <w:rFonts w:ascii="宋体" w:hAnsi="宋体" w:cs="宋体"/>
              <w:sz w:val="28"/>
              <w:szCs w:val="28"/>
            </w:rPr>
          </w:pPr>
          <w:r>
            <w:fldChar w:fldCharType="begin"/>
          </w:r>
          <w:r>
            <w:instrText xml:space="preserve"> HYPERLINK \l "_Toc22138" </w:instrText>
          </w:r>
          <w:r>
            <w:fldChar w:fldCharType="separate"/>
          </w:r>
          <w:r>
            <w:rPr>
              <w:rFonts w:hint="eastAsia" w:ascii="宋体" w:hAnsi="宋体" w:cs="宋体"/>
              <w:kern w:val="0"/>
              <w:sz w:val="28"/>
              <w:szCs w:val="28"/>
            </w:rPr>
            <w:t>第二章 网上竞价内容及要求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_Toc22138 \h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fldChar w:fldCharType="end"/>
          </w:r>
        </w:p>
        <w:p>
          <w:pPr>
            <w:pStyle w:val="16"/>
            <w:tabs>
              <w:tab w:val="right" w:leader="dot" w:pos="9723"/>
            </w:tabs>
            <w:spacing w:line="700" w:lineRule="exact"/>
            <w:rPr>
              <w:rFonts w:ascii="宋体" w:hAnsi="宋体" w:cs="宋体"/>
              <w:sz w:val="28"/>
              <w:szCs w:val="28"/>
            </w:rPr>
          </w:pPr>
          <w:r>
            <w:fldChar w:fldCharType="begin"/>
          </w:r>
          <w:r>
            <w:instrText xml:space="preserve"> HYPERLINK \l "_Toc20788" </w:instrText>
          </w:r>
          <w:r>
            <w:fldChar w:fldCharType="separate"/>
          </w:r>
          <w:r>
            <w:rPr>
              <w:rFonts w:hint="eastAsia" w:ascii="宋体" w:hAnsi="宋体" w:cs="宋体"/>
              <w:sz w:val="28"/>
              <w:szCs w:val="28"/>
            </w:rPr>
            <w:t>第三章 福建农林大学网上竞价采购合同</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_Toc20788 \h </w:instrText>
          </w:r>
          <w:r>
            <w:rPr>
              <w:rFonts w:hint="eastAsia" w:ascii="宋体" w:hAnsi="宋体" w:cs="宋体"/>
              <w:sz w:val="28"/>
              <w:szCs w:val="28"/>
            </w:rPr>
            <w:fldChar w:fldCharType="separate"/>
          </w:r>
          <w:r>
            <w:rPr>
              <w:rFonts w:hint="eastAsia"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fldChar w:fldCharType="end"/>
          </w:r>
        </w:p>
        <w:p>
          <w:pPr>
            <w:pStyle w:val="16"/>
            <w:tabs>
              <w:tab w:val="right" w:leader="dot" w:pos="9723"/>
            </w:tabs>
            <w:spacing w:line="700" w:lineRule="exact"/>
            <w:rPr>
              <w:rFonts w:hint="eastAsia" w:ascii="宋体" w:hAnsi="宋体" w:eastAsia="宋体" w:cs="宋体"/>
              <w:sz w:val="28"/>
              <w:szCs w:val="28"/>
              <w:lang w:eastAsia="zh-CN"/>
            </w:rPr>
          </w:pPr>
          <w:r>
            <w:fldChar w:fldCharType="begin"/>
          </w:r>
          <w:r>
            <w:instrText xml:space="preserve"> HYPERLINK \l "_Toc26969" </w:instrText>
          </w:r>
          <w:r>
            <w:fldChar w:fldCharType="separate"/>
          </w:r>
          <w:r>
            <w:rPr>
              <w:rFonts w:hint="eastAsia" w:ascii="宋体" w:hAnsi="宋体" w:cs="宋体"/>
              <w:bCs/>
              <w:sz w:val="28"/>
              <w:szCs w:val="28"/>
            </w:rPr>
            <w:t>第四章 响应文件格式</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rPr>
            <w:t>1</w:t>
          </w:r>
          <w:r>
            <w:rPr>
              <w:rFonts w:hint="eastAsia" w:ascii="宋体" w:hAnsi="宋体" w:cs="宋体"/>
              <w:sz w:val="28"/>
              <w:szCs w:val="28"/>
              <w:lang w:val="en-US" w:eastAsia="zh-CN"/>
            </w:rPr>
            <w:t>9</w:t>
          </w:r>
        </w:p>
        <w:p>
          <w:pPr>
            <w:pStyle w:val="16"/>
            <w:tabs>
              <w:tab w:val="right" w:leader="dot" w:pos="9723"/>
            </w:tabs>
            <w:spacing w:line="700" w:lineRule="exact"/>
            <w:rPr>
              <w:rFonts w:hint="eastAsia" w:ascii="宋体" w:hAnsi="宋体" w:eastAsia="宋体" w:cs="宋体"/>
              <w:sz w:val="28"/>
              <w:szCs w:val="28"/>
              <w:lang w:eastAsia="zh-CN"/>
            </w:rPr>
          </w:pPr>
          <w:r>
            <w:fldChar w:fldCharType="begin"/>
          </w:r>
          <w:r>
            <w:instrText xml:space="preserve"> HYPERLINK \l "_Toc25184" </w:instrText>
          </w:r>
          <w:r>
            <w:fldChar w:fldCharType="separate"/>
          </w:r>
          <w:r>
            <w:rPr>
              <w:rFonts w:hint="eastAsia" w:ascii="宋体" w:hAnsi="宋体" w:cs="宋体"/>
              <w:bCs/>
              <w:sz w:val="28"/>
              <w:szCs w:val="28"/>
            </w:rPr>
            <w:t>第五章  报价文件</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rPr>
            <w:t>2</w:t>
          </w:r>
          <w:r>
            <w:rPr>
              <w:rFonts w:hint="eastAsia" w:ascii="宋体" w:hAnsi="宋体" w:cs="宋体"/>
              <w:sz w:val="28"/>
              <w:szCs w:val="28"/>
              <w:lang w:val="en-US" w:eastAsia="zh-CN"/>
            </w:rPr>
            <w:t>9</w:t>
          </w:r>
        </w:p>
        <w:p>
          <w:pPr>
            <w:widowControl/>
            <w:spacing w:line="700" w:lineRule="exact"/>
            <w:ind w:firstLine="560" w:firstLineChars="200"/>
            <w:jc w:val="center"/>
            <w:rPr>
              <w:rFonts w:ascii="宋体" w:hAnsi="宋体" w:cs="宋体"/>
              <w:b/>
              <w:bCs/>
              <w:kern w:val="0"/>
              <w:sz w:val="32"/>
              <w:szCs w:val="32"/>
            </w:rPr>
          </w:pPr>
          <w:r>
            <w:rPr>
              <w:rFonts w:hint="eastAsia" w:ascii="宋体" w:hAnsi="宋体" w:cs="宋体"/>
              <w:bCs/>
              <w:kern w:val="0"/>
              <w:sz w:val="28"/>
              <w:szCs w:val="28"/>
            </w:rPr>
            <w:fldChar w:fldCharType="end"/>
          </w:r>
        </w:p>
      </w:sdtContent>
    </w:sdt>
    <w:p>
      <w:pPr>
        <w:widowControl/>
        <w:spacing w:line="700" w:lineRule="exact"/>
        <w:ind w:firstLine="643" w:firstLineChars="200"/>
        <w:jc w:val="center"/>
        <w:rPr>
          <w:rFonts w:ascii="宋体" w:hAnsi="宋体" w:cs="宋体"/>
          <w:b/>
          <w:bCs/>
          <w:kern w:val="0"/>
          <w:sz w:val="32"/>
          <w:szCs w:val="32"/>
        </w:rPr>
      </w:pPr>
    </w:p>
    <w:p>
      <w:pPr>
        <w:widowControl/>
        <w:spacing w:line="460" w:lineRule="exact"/>
        <w:ind w:firstLine="643" w:firstLineChars="200"/>
        <w:jc w:val="center"/>
        <w:rPr>
          <w:rFonts w:ascii="宋体" w:hAnsi="宋体" w:cs="宋体"/>
          <w:b/>
          <w:bCs/>
          <w:kern w:val="0"/>
          <w:sz w:val="32"/>
          <w:szCs w:val="32"/>
        </w:rPr>
      </w:pPr>
    </w:p>
    <w:p>
      <w:pPr>
        <w:widowControl/>
        <w:spacing w:line="460" w:lineRule="exact"/>
        <w:ind w:firstLine="643" w:firstLineChars="200"/>
        <w:jc w:val="center"/>
        <w:rPr>
          <w:rFonts w:ascii="宋体" w:hAnsi="宋体" w:cs="宋体"/>
          <w:b/>
          <w:bCs/>
          <w:kern w:val="0"/>
          <w:sz w:val="32"/>
          <w:szCs w:val="32"/>
        </w:rPr>
      </w:pPr>
    </w:p>
    <w:p>
      <w:pPr>
        <w:widowControl/>
        <w:spacing w:line="460" w:lineRule="exact"/>
        <w:ind w:firstLine="643" w:firstLineChars="200"/>
        <w:jc w:val="center"/>
        <w:rPr>
          <w:rFonts w:ascii="宋体" w:hAnsi="宋体" w:cs="宋体"/>
          <w:b/>
          <w:bCs/>
          <w:kern w:val="0"/>
          <w:sz w:val="32"/>
          <w:szCs w:val="32"/>
        </w:rPr>
      </w:pPr>
    </w:p>
    <w:p>
      <w:pPr>
        <w:widowControl/>
        <w:spacing w:line="460" w:lineRule="exact"/>
        <w:ind w:firstLine="643" w:firstLineChars="200"/>
        <w:jc w:val="center"/>
        <w:rPr>
          <w:rFonts w:ascii="宋体" w:hAnsi="宋体" w:cs="宋体"/>
          <w:b/>
          <w:bCs/>
          <w:kern w:val="0"/>
          <w:sz w:val="32"/>
          <w:szCs w:val="32"/>
        </w:rPr>
      </w:pPr>
    </w:p>
    <w:p>
      <w:pPr>
        <w:widowControl/>
        <w:spacing w:line="460" w:lineRule="exact"/>
        <w:ind w:firstLine="643" w:firstLineChars="200"/>
        <w:jc w:val="center"/>
        <w:rPr>
          <w:rFonts w:ascii="宋体" w:hAnsi="宋体" w:cs="宋体"/>
          <w:b/>
          <w:bCs/>
          <w:kern w:val="0"/>
          <w:sz w:val="32"/>
          <w:szCs w:val="32"/>
        </w:rPr>
      </w:pPr>
    </w:p>
    <w:p>
      <w:pPr>
        <w:widowControl/>
        <w:spacing w:line="460" w:lineRule="exact"/>
        <w:ind w:firstLine="643" w:firstLineChars="200"/>
        <w:jc w:val="center"/>
        <w:rPr>
          <w:rFonts w:ascii="宋体" w:hAnsi="宋体" w:cs="宋体"/>
          <w:b/>
          <w:bCs/>
          <w:kern w:val="0"/>
          <w:sz w:val="32"/>
          <w:szCs w:val="32"/>
        </w:rPr>
      </w:pPr>
    </w:p>
    <w:p>
      <w:pPr>
        <w:widowControl/>
        <w:spacing w:line="460" w:lineRule="exact"/>
        <w:ind w:firstLine="643" w:firstLineChars="200"/>
        <w:jc w:val="center"/>
        <w:rPr>
          <w:rFonts w:ascii="宋体" w:hAnsi="宋体" w:cs="宋体"/>
          <w:b/>
          <w:bCs/>
          <w:kern w:val="0"/>
          <w:sz w:val="32"/>
          <w:szCs w:val="32"/>
        </w:rPr>
      </w:pPr>
    </w:p>
    <w:p>
      <w:pPr>
        <w:widowControl/>
        <w:spacing w:line="460" w:lineRule="exact"/>
        <w:ind w:firstLine="643" w:firstLineChars="200"/>
        <w:jc w:val="center"/>
        <w:rPr>
          <w:rFonts w:ascii="宋体" w:hAnsi="宋体" w:cs="宋体"/>
          <w:b/>
          <w:bCs/>
          <w:kern w:val="0"/>
          <w:sz w:val="32"/>
          <w:szCs w:val="32"/>
        </w:rPr>
      </w:pPr>
    </w:p>
    <w:p>
      <w:pPr>
        <w:widowControl/>
        <w:spacing w:line="460" w:lineRule="exact"/>
        <w:ind w:firstLine="643" w:firstLineChars="200"/>
        <w:jc w:val="center"/>
        <w:rPr>
          <w:rFonts w:ascii="宋体" w:hAnsi="宋体" w:cs="宋体"/>
          <w:b/>
          <w:bCs/>
          <w:kern w:val="0"/>
          <w:sz w:val="32"/>
          <w:szCs w:val="32"/>
        </w:rPr>
      </w:pPr>
    </w:p>
    <w:p>
      <w:pPr>
        <w:widowControl/>
        <w:spacing w:line="460" w:lineRule="exact"/>
        <w:ind w:firstLine="643" w:firstLineChars="200"/>
        <w:jc w:val="center"/>
        <w:rPr>
          <w:rFonts w:ascii="宋体" w:hAnsi="宋体" w:cs="宋体"/>
          <w:b/>
          <w:bCs/>
          <w:kern w:val="0"/>
          <w:sz w:val="32"/>
          <w:szCs w:val="32"/>
        </w:rPr>
      </w:pPr>
    </w:p>
    <w:p>
      <w:pPr>
        <w:widowControl/>
        <w:spacing w:line="460" w:lineRule="exact"/>
        <w:ind w:firstLine="643" w:firstLineChars="200"/>
        <w:jc w:val="center"/>
        <w:rPr>
          <w:rFonts w:ascii="宋体" w:hAnsi="宋体" w:cs="宋体"/>
          <w:b/>
          <w:bCs/>
          <w:kern w:val="0"/>
          <w:sz w:val="32"/>
          <w:szCs w:val="32"/>
        </w:rPr>
      </w:pPr>
    </w:p>
    <w:p>
      <w:pPr>
        <w:widowControl/>
        <w:spacing w:line="460" w:lineRule="exact"/>
        <w:ind w:firstLine="643" w:firstLineChars="200"/>
        <w:jc w:val="center"/>
        <w:rPr>
          <w:rFonts w:ascii="宋体" w:hAnsi="宋体" w:cs="宋体"/>
          <w:b/>
          <w:bCs/>
          <w:kern w:val="0"/>
          <w:sz w:val="32"/>
          <w:szCs w:val="32"/>
        </w:rPr>
      </w:pPr>
    </w:p>
    <w:p>
      <w:pPr>
        <w:pStyle w:val="2"/>
        <w:ind w:firstLine="321"/>
        <w:rPr>
          <w:rFonts w:ascii="宋体" w:hAnsi="宋体" w:cs="宋体"/>
          <w:b/>
          <w:bCs/>
          <w:kern w:val="0"/>
          <w:sz w:val="32"/>
          <w:szCs w:val="32"/>
        </w:rPr>
      </w:pPr>
    </w:p>
    <w:p>
      <w:pPr>
        <w:pStyle w:val="12"/>
        <w:rPr>
          <w:rFonts w:cs="宋体"/>
          <w:b/>
          <w:bCs/>
          <w:sz w:val="32"/>
          <w:szCs w:val="32"/>
        </w:rPr>
      </w:pPr>
    </w:p>
    <w:p>
      <w:pPr>
        <w:pStyle w:val="12"/>
        <w:rPr>
          <w:rFonts w:cs="宋体"/>
          <w:b/>
          <w:bCs/>
          <w:sz w:val="32"/>
          <w:szCs w:val="32"/>
        </w:rPr>
      </w:pPr>
    </w:p>
    <w:p>
      <w:pPr>
        <w:widowControl/>
        <w:spacing w:line="460" w:lineRule="exact"/>
        <w:ind w:firstLine="643" w:firstLineChars="200"/>
        <w:jc w:val="center"/>
        <w:rPr>
          <w:rFonts w:ascii="宋体" w:hAnsi="宋体" w:cs="宋体"/>
          <w:b/>
          <w:bCs/>
          <w:kern w:val="0"/>
          <w:sz w:val="32"/>
          <w:szCs w:val="32"/>
        </w:rPr>
      </w:pPr>
    </w:p>
    <w:p>
      <w:pPr>
        <w:widowControl/>
        <w:spacing w:line="460" w:lineRule="exact"/>
        <w:ind w:firstLine="643" w:firstLineChars="200"/>
        <w:jc w:val="center"/>
        <w:outlineLvl w:val="0"/>
        <w:rPr>
          <w:rFonts w:ascii="宋体" w:hAnsi="宋体" w:cs="宋体"/>
          <w:b/>
          <w:bCs/>
          <w:kern w:val="0"/>
          <w:sz w:val="32"/>
          <w:szCs w:val="32"/>
        </w:rPr>
      </w:pPr>
      <w:bookmarkStart w:id="0" w:name="_Toc8329"/>
      <w:bookmarkStart w:id="1" w:name="_Toc18236"/>
      <w:r>
        <w:rPr>
          <w:rFonts w:hint="eastAsia" w:ascii="宋体" w:hAnsi="宋体" w:cs="宋体"/>
          <w:b/>
          <w:bCs/>
          <w:kern w:val="0"/>
          <w:sz w:val="32"/>
          <w:szCs w:val="32"/>
        </w:rPr>
        <w:t>第一章 竞价须知</w:t>
      </w:r>
      <w:bookmarkEnd w:id="0"/>
      <w:bookmarkEnd w:id="1"/>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福建省宏瑞招标代理有限公司受</w:t>
      </w:r>
      <w:r>
        <w:rPr>
          <w:rFonts w:hint="eastAsia" w:ascii="宋体" w:hAnsi="宋体" w:cs="宋体"/>
          <w:bCs/>
          <w:kern w:val="0"/>
          <w:sz w:val="24"/>
          <w:u w:val="single"/>
        </w:rPr>
        <w:t>福建农林大学</w:t>
      </w:r>
      <w:r>
        <w:rPr>
          <w:rFonts w:hint="eastAsia" w:ascii="宋体" w:hAnsi="宋体" w:cs="宋体"/>
          <w:bCs/>
          <w:kern w:val="0"/>
          <w:sz w:val="24"/>
        </w:rPr>
        <w:t>的</w:t>
      </w:r>
      <w:r>
        <w:rPr>
          <w:rFonts w:hint="eastAsia" w:ascii="宋体" w:hAnsi="宋体" w:cs="宋体"/>
          <w:kern w:val="0"/>
          <w:sz w:val="24"/>
        </w:rPr>
        <w:t>委托对</w:t>
      </w:r>
      <w:r>
        <w:rPr>
          <w:rFonts w:hint="eastAsia" w:ascii="宋体" w:hAnsi="宋体"/>
          <w:sz w:val="24"/>
          <w:u w:val="single"/>
        </w:rPr>
        <w:t>福建农林大学安溪茶学院拼接处理系统采购项目</w:t>
      </w:r>
      <w:r>
        <w:rPr>
          <w:rFonts w:hint="eastAsia" w:ascii="宋体" w:hAnsi="宋体" w:cs="宋体"/>
          <w:kern w:val="0"/>
          <w:sz w:val="24"/>
        </w:rPr>
        <w:t>进行网上竞价。</w:t>
      </w:r>
    </w:p>
    <w:p>
      <w:pPr>
        <w:widowControl/>
        <w:spacing w:line="460" w:lineRule="exact"/>
        <w:ind w:firstLine="480" w:firstLineChars="200"/>
        <w:jc w:val="left"/>
        <w:rPr>
          <w:rFonts w:ascii="宋体" w:hAnsi="宋体"/>
          <w:sz w:val="24"/>
        </w:rPr>
      </w:pPr>
      <w:r>
        <w:rPr>
          <w:rFonts w:hint="eastAsia" w:ascii="宋体" w:hAnsi="宋体" w:cs="宋体"/>
          <w:kern w:val="0"/>
          <w:sz w:val="24"/>
        </w:rPr>
        <w:t>1．项目编号：FJHR-WJ2022150TX</w:t>
      </w:r>
    </w:p>
    <w:p>
      <w:pPr>
        <w:widowControl/>
        <w:spacing w:line="460" w:lineRule="exact"/>
        <w:ind w:firstLine="480" w:firstLineChars="200"/>
        <w:jc w:val="left"/>
        <w:rPr>
          <w:rFonts w:ascii="宋体" w:hAnsi="宋体"/>
          <w:sz w:val="24"/>
        </w:rPr>
      </w:pPr>
      <w:r>
        <w:rPr>
          <w:rFonts w:hint="eastAsia" w:ascii="宋体" w:hAnsi="宋体" w:cs="宋体"/>
          <w:kern w:val="0"/>
          <w:sz w:val="24"/>
        </w:rPr>
        <w:t>2．项目名称:</w:t>
      </w:r>
      <w:r>
        <w:rPr>
          <w:rFonts w:hint="eastAsia" w:ascii="宋体" w:hAnsi="宋体"/>
          <w:sz w:val="24"/>
        </w:rPr>
        <w:t>福建农林大学安溪茶学院拼接处理系统采购项目</w:t>
      </w:r>
    </w:p>
    <w:p>
      <w:pPr>
        <w:widowControl/>
        <w:spacing w:line="460" w:lineRule="exact"/>
        <w:ind w:firstLine="480" w:firstLineChars="200"/>
        <w:jc w:val="left"/>
        <w:rPr>
          <w:rFonts w:ascii="宋体" w:hAnsi="宋体" w:cs="宋体"/>
          <w:kern w:val="0"/>
          <w:sz w:val="24"/>
        </w:rPr>
      </w:pPr>
      <w:r>
        <w:rPr>
          <w:rFonts w:hint="eastAsia" w:ascii="宋体" w:hAnsi="宋体"/>
          <w:bCs/>
          <w:sz w:val="24"/>
        </w:rPr>
        <w:t>3．竞价采购货物（服务）名称、数量及主要技术规格售后服务要求等详见“第二章 网上竞价内容及要求”</w:t>
      </w:r>
      <w:r>
        <w:rPr>
          <w:rFonts w:hint="eastAsia" w:ascii="宋体" w:hAnsi="宋体" w:cs="宋体"/>
          <w:kern w:val="0"/>
          <w:sz w:val="24"/>
        </w:rPr>
        <w:t>。</w:t>
      </w:r>
    </w:p>
    <w:p>
      <w:pPr>
        <w:spacing w:line="460" w:lineRule="exact"/>
        <w:ind w:firstLine="480" w:firstLineChars="200"/>
        <w:rPr>
          <w:rFonts w:ascii="宋体" w:hAnsi="宋体" w:cs="宋体"/>
          <w:kern w:val="0"/>
          <w:sz w:val="24"/>
        </w:rPr>
      </w:pPr>
      <w:r>
        <w:rPr>
          <w:rFonts w:hint="eastAsia" w:ascii="宋体" w:hAnsi="宋体" w:cs="宋体"/>
          <w:kern w:val="0"/>
          <w:sz w:val="24"/>
        </w:rPr>
        <w:t>4．报名及竞价时间：</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报名起始时间：2022年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26</w:t>
      </w:r>
      <w:r>
        <w:rPr>
          <w:rFonts w:hint="eastAsia" w:ascii="宋体" w:hAnsi="宋体" w:cs="宋体"/>
          <w:kern w:val="0"/>
          <w:sz w:val="24"/>
        </w:rPr>
        <w:t>日</w:t>
      </w:r>
      <w:r>
        <w:rPr>
          <w:rFonts w:hint="eastAsia" w:ascii="宋体" w:hAnsi="宋体" w:cs="宋体"/>
          <w:kern w:val="0"/>
          <w:sz w:val="24"/>
          <w:lang w:val="en-US" w:eastAsia="zh-CN"/>
        </w:rPr>
        <w:t>09</w:t>
      </w:r>
      <w:r>
        <w:rPr>
          <w:rFonts w:hint="eastAsia" w:ascii="宋体" w:hAnsi="宋体" w:cs="宋体"/>
          <w:kern w:val="0"/>
          <w:sz w:val="24"/>
        </w:rPr>
        <w:t>:00</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报名截止时间：2022年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27</w:t>
      </w:r>
      <w:r>
        <w:rPr>
          <w:rFonts w:hint="eastAsia" w:ascii="宋体" w:hAnsi="宋体" w:cs="宋体"/>
          <w:kern w:val="0"/>
          <w:sz w:val="24"/>
        </w:rPr>
        <w:t>日</w:t>
      </w:r>
      <w:r>
        <w:rPr>
          <w:rFonts w:hint="eastAsia" w:ascii="宋体" w:hAnsi="宋体" w:cs="宋体"/>
          <w:kern w:val="0"/>
          <w:sz w:val="24"/>
          <w:lang w:val="en-US" w:eastAsia="zh-CN"/>
        </w:rPr>
        <w:t>17</w:t>
      </w:r>
      <w:r>
        <w:rPr>
          <w:rFonts w:hint="eastAsia" w:ascii="宋体" w:hAnsi="宋体" w:cs="宋体"/>
          <w:kern w:val="0"/>
          <w:sz w:val="24"/>
        </w:rPr>
        <w:t>:00</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竞价起始时间：2022年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28</w:t>
      </w:r>
      <w:r>
        <w:rPr>
          <w:rFonts w:hint="eastAsia" w:ascii="宋体" w:hAnsi="宋体" w:cs="宋体"/>
          <w:kern w:val="0"/>
          <w:sz w:val="24"/>
        </w:rPr>
        <w:t>日</w:t>
      </w:r>
      <w:r>
        <w:rPr>
          <w:rFonts w:hint="eastAsia" w:ascii="宋体" w:hAnsi="宋体" w:cs="宋体"/>
          <w:kern w:val="0"/>
          <w:sz w:val="24"/>
          <w:lang w:val="en-US" w:eastAsia="zh-CN"/>
        </w:rPr>
        <w:t>09</w:t>
      </w:r>
      <w:r>
        <w:rPr>
          <w:rFonts w:hint="eastAsia" w:ascii="宋体" w:hAnsi="宋体" w:cs="宋体"/>
          <w:kern w:val="0"/>
          <w:sz w:val="24"/>
        </w:rPr>
        <w:t>:00</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竞价截止时间：2022年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28</w:t>
      </w:r>
      <w:r>
        <w:rPr>
          <w:rFonts w:hint="eastAsia" w:ascii="宋体" w:hAnsi="宋体" w:cs="宋体"/>
          <w:kern w:val="0"/>
          <w:sz w:val="24"/>
        </w:rPr>
        <w:t>日</w:t>
      </w:r>
      <w:r>
        <w:rPr>
          <w:rFonts w:hint="eastAsia" w:ascii="宋体" w:hAnsi="宋体" w:cs="宋体"/>
          <w:kern w:val="0"/>
          <w:sz w:val="24"/>
          <w:lang w:val="en-US" w:eastAsia="zh-CN"/>
        </w:rPr>
        <w:t>11</w:t>
      </w:r>
      <w:r>
        <w:rPr>
          <w:rFonts w:hint="eastAsia" w:ascii="宋体" w:hAnsi="宋体" w:cs="宋体"/>
          <w:kern w:val="0"/>
          <w:sz w:val="24"/>
        </w:rPr>
        <w:t>:00</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5.</w:t>
      </w:r>
      <w:r>
        <w:rPr>
          <w:rFonts w:hint="eastAsia" w:ascii="宋体" w:hAnsi="宋体"/>
          <w:sz w:val="24"/>
        </w:rPr>
        <w:t>本项目须有2家(含2家)以上合格的竞价人参与竞价，</w:t>
      </w:r>
      <w:r>
        <w:rPr>
          <w:rFonts w:hint="eastAsia" w:ascii="宋体" w:hAnsi="宋体" w:cs="宋体"/>
          <w:kern w:val="0"/>
          <w:sz w:val="24"/>
        </w:rPr>
        <w:t>否则网上竞价无效。</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6.本项目不接受联合体竞价，成交后，成交人不得转包、分包。</w:t>
      </w:r>
    </w:p>
    <w:p>
      <w:pPr>
        <w:widowControl/>
        <w:spacing w:line="460" w:lineRule="exact"/>
        <w:ind w:firstLine="480" w:firstLineChars="200"/>
        <w:jc w:val="left"/>
        <w:rPr>
          <w:rFonts w:ascii="宋体" w:hAnsi="宋体"/>
          <w:bCs/>
          <w:sz w:val="24"/>
        </w:rPr>
      </w:pPr>
      <w:r>
        <w:rPr>
          <w:rFonts w:hint="eastAsia" w:ascii="宋体" w:hAnsi="宋体" w:cs="宋体"/>
          <w:kern w:val="0"/>
          <w:sz w:val="24"/>
        </w:rPr>
        <w:t>7．</w:t>
      </w:r>
      <w:r>
        <w:rPr>
          <w:rFonts w:hint="eastAsia" w:ascii="宋体" w:hAnsi="宋体"/>
          <w:bCs/>
          <w:sz w:val="24"/>
        </w:rPr>
        <w:t>联系方式</w:t>
      </w:r>
    </w:p>
    <w:p>
      <w:pPr>
        <w:spacing w:line="460" w:lineRule="exact"/>
        <w:ind w:firstLine="480" w:firstLineChars="200"/>
        <w:rPr>
          <w:rFonts w:ascii="宋体" w:hAnsi="宋体"/>
          <w:sz w:val="24"/>
        </w:rPr>
      </w:pPr>
      <w:r>
        <w:rPr>
          <w:rFonts w:hint="eastAsia" w:ascii="宋体" w:hAnsi="宋体"/>
          <w:sz w:val="24"/>
        </w:rPr>
        <w:t>采购人：福建农林大学</w:t>
      </w:r>
    </w:p>
    <w:p>
      <w:pPr>
        <w:spacing w:line="460" w:lineRule="exact"/>
        <w:ind w:firstLine="480" w:firstLineChars="200"/>
        <w:rPr>
          <w:rFonts w:ascii="宋体" w:hAnsi="宋体"/>
          <w:sz w:val="24"/>
        </w:rPr>
      </w:pPr>
      <w:r>
        <w:rPr>
          <w:rFonts w:hint="eastAsia" w:ascii="宋体" w:hAnsi="宋体"/>
          <w:sz w:val="24"/>
        </w:rPr>
        <w:t>地址：福建省福州市仓山区上下店路15号</w:t>
      </w:r>
    </w:p>
    <w:p>
      <w:pPr>
        <w:spacing w:line="460" w:lineRule="exact"/>
        <w:ind w:firstLine="480" w:firstLineChars="200"/>
        <w:rPr>
          <w:rFonts w:ascii="宋体" w:hAnsi="宋体" w:cs="宋体"/>
          <w:sz w:val="24"/>
        </w:rPr>
      </w:pPr>
      <w:r>
        <w:rPr>
          <w:rFonts w:hint="eastAsia" w:ascii="宋体" w:hAnsi="宋体"/>
          <w:sz w:val="24"/>
        </w:rPr>
        <w:t>联系人及电话</w:t>
      </w:r>
      <w:r>
        <w:rPr>
          <w:rFonts w:hint="eastAsia" w:ascii="宋体" w:hAnsi="宋体" w:cs="宋体"/>
          <w:sz w:val="24"/>
        </w:rPr>
        <w:t>：</w:t>
      </w:r>
      <w:r>
        <w:rPr>
          <w:rFonts w:hint="eastAsia" w:ascii="宋体" w:hAnsi="宋体" w:cs="宋体"/>
          <w:sz w:val="24"/>
          <w:lang w:val="en-US" w:eastAsia="zh-CN"/>
        </w:rPr>
        <w:t>陈</w:t>
      </w:r>
      <w:r>
        <w:rPr>
          <w:rFonts w:hint="eastAsia" w:ascii="宋体" w:hAnsi="宋体"/>
          <w:sz w:val="24"/>
        </w:rPr>
        <w:t>老师、0595</w:t>
      </w:r>
      <w:r>
        <w:rPr>
          <w:rFonts w:hint="eastAsia" w:ascii="宋体" w:hAnsi="宋体"/>
          <w:sz w:val="24"/>
          <w:lang w:val="en-US" w:eastAsia="zh-CN"/>
        </w:rPr>
        <w:t>-</w:t>
      </w:r>
      <w:r>
        <w:rPr>
          <w:rFonts w:hint="eastAsia" w:ascii="宋体" w:hAnsi="宋体"/>
          <w:sz w:val="24"/>
        </w:rPr>
        <w:t>26163108</w:t>
      </w:r>
    </w:p>
    <w:p>
      <w:pPr>
        <w:spacing w:line="460" w:lineRule="exact"/>
        <w:ind w:firstLine="480" w:firstLineChars="200"/>
        <w:rPr>
          <w:rFonts w:ascii="宋体" w:hAnsi="宋体"/>
          <w:sz w:val="24"/>
        </w:rPr>
      </w:pPr>
      <w:r>
        <w:rPr>
          <w:rFonts w:hint="eastAsia" w:ascii="宋体" w:hAnsi="宋体"/>
          <w:sz w:val="24"/>
        </w:rPr>
        <w:t xml:space="preserve">采购代理机构：福建省宏瑞招标代理有限公司 </w:t>
      </w:r>
    </w:p>
    <w:p>
      <w:pPr>
        <w:spacing w:line="460" w:lineRule="exact"/>
        <w:ind w:firstLine="480" w:firstLineChars="200"/>
        <w:rPr>
          <w:rFonts w:ascii="宋体" w:hAnsi="宋体"/>
          <w:sz w:val="24"/>
        </w:rPr>
      </w:pPr>
      <w:r>
        <w:rPr>
          <w:rFonts w:hint="eastAsia" w:ascii="宋体" w:hAnsi="宋体"/>
          <w:sz w:val="24"/>
        </w:rPr>
        <w:t>地  址：福州市鼓楼区西洪路518号恩特楼A-402/403</w:t>
      </w:r>
    </w:p>
    <w:p>
      <w:pPr>
        <w:spacing w:line="460" w:lineRule="exact"/>
        <w:ind w:firstLine="480" w:firstLineChars="200"/>
        <w:rPr>
          <w:rFonts w:ascii="宋体" w:hAnsi="宋体"/>
          <w:sz w:val="24"/>
        </w:rPr>
      </w:pPr>
      <w:r>
        <w:rPr>
          <w:rFonts w:hint="eastAsia" w:ascii="宋体" w:hAnsi="宋体"/>
          <w:sz w:val="24"/>
        </w:rPr>
        <w:t xml:space="preserve">邮  编：350001    </w:t>
      </w:r>
    </w:p>
    <w:p>
      <w:pPr>
        <w:spacing w:line="460" w:lineRule="exact"/>
        <w:ind w:firstLine="480" w:firstLineChars="200"/>
        <w:rPr>
          <w:rFonts w:ascii="宋体" w:hAnsi="宋体"/>
          <w:sz w:val="24"/>
        </w:rPr>
      </w:pPr>
      <w:r>
        <w:rPr>
          <w:rFonts w:hint="eastAsia" w:ascii="宋体" w:hAnsi="宋体"/>
          <w:sz w:val="24"/>
        </w:rPr>
        <w:t xml:space="preserve">电  话：0591-83701177  </w:t>
      </w:r>
    </w:p>
    <w:p>
      <w:pPr>
        <w:spacing w:line="460" w:lineRule="exact"/>
        <w:ind w:firstLine="480" w:firstLineChars="200"/>
        <w:rPr>
          <w:rFonts w:ascii="宋体" w:hAnsi="宋体"/>
          <w:sz w:val="24"/>
        </w:rPr>
      </w:pPr>
      <w:r>
        <w:rPr>
          <w:rFonts w:hint="eastAsia" w:ascii="宋体" w:hAnsi="宋体"/>
          <w:sz w:val="24"/>
        </w:rPr>
        <w:t xml:space="preserve">项目负责人：吴萍、薛方   </w:t>
      </w:r>
    </w:p>
    <w:p>
      <w:pPr>
        <w:spacing w:line="460" w:lineRule="exact"/>
        <w:ind w:firstLine="480" w:firstLineChars="200"/>
        <w:rPr>
          <w:rFonts w:ascii="宋体" w:hAnsi="宋体"/>
          <w:sz w:val="24"/>
        </w:rPr>
      </w:pPr>
      <w:r>
        <w:rPr>
          <w:rFonts w:hint="eastAsia" w:ascii="宋体" w:hAnsi="宋体"/>
          <w:sz w:val="24"/>
        </w:rPr>
        <w:t xml:space="preserve">公司网址：http://www.fjhongrui.com </w:t>
      </w:r>
    </w:p>
    <w:p>
      <w:pPr>
        <w:spacing w:line="460" w:lineRule="exact"/>
        <w:ind w:firstLine="480" w:firstLineChars="200"/>
        <w:rPr>
          <w:rFonts w:ascii="宋体" w:hAnsi="宋体"/>
          <w:sz w:val="24"/>
        </w:rPr>
      </w:pPr>
      <w:r>
        <w:rPr>
          <w:rFonts w:hint="eastAsia" w:ascii="宋体" w:hAnsi="宋体"/>
          <w:sz w:val="24"/>
        </w:rPr>
        <w:t xml:space="preserve">电子信箱：fjhrzb@126.com      </w:t>
      </w:r>
    </w:p>
    <w:p>
      <w:pPr>
        <w:spacing w:line="460" w:lineRule="exact"/>
        <w:ind w:firstLine="480" w:firstLineChars="200"/>
        <w:rPr>
          <w:rFonts w:ascii="宋体" w:hAnsi="宋体"/>
          <w:sz w:val="24"/>
        </w:rPr>
      </w:pPr>
      <w:r>
        <w:rPr>
          <w:rFonts w:hint="eastAsia" w:ascii="宋体" w:hAnsi="宋体"/>
          <w:sz w:val="24"/>
        </w:rPr>
        <w:t>8.有关本项目的相关信息（包括文件若有修改补充），福建省宏瑞招标代理有限公司将通过以下媒介发布通知，请潜在竞价人随时关注相关网站，以免错漏重要信息。</w:t>
      </w:r>
    </w:p>
    <w:p>
      <w:pPr>
        <w:pStyle w:val="8"/>
        <w:spacing w:beforeAutospacing="0" w:afterAutospacing="0" w:line="460" w:lineRule="exact"/>
        <w:ind w:firstLine="480" w:firstLineChars="200"/>
      </w:pPr>
      <w:r>
        <w:rPr>
          <w:rFonts w:hint="eastAsia"/>
          <w:b w:val="0"/>
          <w:kern w:val="2"/>
          <w:sz w:val="24"/>
          <w:szCs w:val="24"/>
        </w:rPr>
        <w:t>（1）中国政府采购网（www.ccgp.gov.cn）、</w:t>
      </w:r>
    </w:p>
    <w:p>
      <w:pPr>
        <w:pStyle w:val="8"/>
        <w:spacing w:beforeAutospacing="0" w:afterAutospacing="0" w:line="460" w:lineRule="exact"/>
        <w:ind w:firstLine="480" w:firstLineChars="200"/>
        <w:rPr>
          <w:b w:val="0"/>
          <w:kern w:val="2"/>
          <w:sz w:val="24"/>
          <w:szCs w:val="24"/>
        </w:rPr>
      </w:pPr>
      <w:r>
        <w:rPr>
          <w:rFonts w:hint="eastAsia"/>
          <w:b w:val="0"/>
          <w:kern w:val="2"/>
          <w:sz w:val="24"/>
          <w:szCs w:val="24"/>
        </w:rPr>
        <w:t>（2）福建省宏瑞招标代理有限公司(http://www.fjhongrui.com )。</w:t>
      </w:r>
    </w:p>
    <w:p>
      <w:pPr>
        <w:spacing w:line="460" w:lineRule="exact"/>
        <w:ind w:firstLine="480" w:firstLineChars="200"/>
        <w:rPr>
          <w:rFonts w:ascii="宋体" w:hAnsi="宋体"/>
          <w:sz w:val="24"/>
        </w:rPr>
      </w:pPr>
      <w:r>
        <w:rPr>
          <w:rFonts w:hint="eastAsia" w:ascii="宋体" w:hAnsi="宋体"/>
          <w:sz w:val="24"/>
        </w:rPr>
        <w:t>9.竞价人资格要求</w:t>
      </w:r>
    </w:p>
    <w:p>
      <w:pPr>
        <w:widowControl/>
        <w:spacing w:line="460" w:lineRule="exact"/>
        <w:ind w:firstLine="480" w:firstLineChars="200"/>
        <w:jc w:val="left"/>
        <w:rPr>
          <w:rFonts w:ascii="宋体" w:hAnsi="宋体" w:cs="宋体"/>
          <w:sz w:val="24"/>
        </w:rPr>
      </w:pPr>
      <w:r>
        <w:rPr>
          <w:rFonts w:hint="eastAsia" w:ascii="宋体" w:hAnsi="宋体"/>
          <w:sz w:val="24"/>
        </w:rPr>
        <w:t>（1）竞价人</w:t>
      </w:r>
      <w:r>
        <w:rPr>
          <w:rFonts w:ascii="宋体" w:hAnsi="宋体" w:cs="宋体"/>
          <w:kern w:val="0"/>
          <w:sz w:val="24"/>
          <w:lang w:bidi="ar"/>
        </w:rPr>
        <w:t>是企业或个体工商户的，则提供工商部门注册的有效的营业执照复印件；</w:t>
      </w:r>
      <w:r>
        <w:rPr>
          <w:rFonts w:hint="eastAsia" w:ascii="宋体" w:hAnsi="宋体"/>
          <w:sz w:val="24"/>
        </w:rPr>
        <w:t>竞价人</w:t>
      </w:r>
      <w:r>
        <w:rPr>
          <w:rFonts w:ascii="宋体" w:hAnsi="宋体" w:cs="宋体"/>
          <w:kern w:val="0"/>
          <w:sz w:val="24"/>
          <w:lang w:bidi="ar"/>
        </w:rPr>
        <w:t>是事业单位的，则提供有效的“事业单位法人证书”复印件；</w:t>
      </w:r>
      <w:r>
        <w:rPr>
          <w:rFonts w:hint="eastAsia" w:ascii="宋体" w:hAnsi="宋体"/>
          <w:sz w:val="24"/>
        </w:rPr>
        <w:t>竞价人</w:t>
      </w:r>
      <w:r>
        <w:rPr>
          <w:rFonts w:ascii="宋体" w:hAnsi="宋体" w:cs="宋体"/>
          <w:kern w:val="0"/>
          <w:sz w:val="24"/>
          <w:lang w:bidi="ar"/>
        </w:rPr>
        <w:t>是非企业专业服务机构的，则提供执业许可等证明材料；</w:t>
      </w:r>
      <w:r>
        <w:rPr>
          <w:rFonts w:hint="eastAsia" w:ascii="宋体" w:hAnsi="宋体"/>
          <w:sz w:val="24"/>
        </w:rPr>
        <w:t>竞价人</w:t>
      </w:r>
      <w:r>
        <w:rPr>
          <w:rFonts w:ascii="宋体" w:hAnsi="宋体" w:cs="宋体"/>
          <w:kern w:val="0"/>
          <w:sz w:val="24"/>
          <w:lang w:bidi="ar"/>
        </w:rPr>
        <w:t>是自然人的，则提供自然人的身份证明复印件</w:t>
      </w:r>
      <w:r>
        <w:rPr>
          <w:rFonts w:hint="eastAsia" w:ascii="宋体" w:hAnsi="宋体" w:cs="宋体"/>
          <w:kern w:val="0"/>
          <w:sz w:val="24"/>
          <w:lang w:bidi="ar"/>
        </w:rPr>
        <w:t>。</w:t>
      </w:r>
    </w:p>
    <w:p>
      <w:pPr>
        <w:widowControl/>
        <w:spacing w:line="460" w:lineRule="exact"/>
        <w:ind w:firstLine="480" w:firstLineChars="200"/>
        <w:jc w:val="left"/>
        <w:rPr>
          <w:rFonts w:ascii="宋体" w:hAnsi="宋体" w:cs="宋体"/>
          <w:sz w:val="24"/>
        </w:rPr>
      </w:pPr>
      <w:r>
        <w:rPr>
          <w:rFonts w:hint="eastAsia" w:ascii="宋体" w:hAnsi="宋体"/>
          <w:sz w:val="24"/>
        </w:rPr>
        <w:t>（2）</w:t>
      </w:r>
      <w:r>
        <w:rPr>
          <w:rFonts w:hint="eastAsia" w:ascii="宋体" w:hAnsi="宋体" w:cs="宋体"/>
          <w:sz w:val="24"/>
        </w:rPr>
        <w:t>单位负责人授权书。</w:t>
      </w:r>
    </w:p>
    <w:p>
      <w:pPr>
        <w:widowControl/>
        <w:spacing w:line="460" w:lineRule="exact"/>
        <w:ind w:firstLine="480" w:firstLineChars="200"/>
        <w:jc w:val="left"/>
        <w:rPr>
          <w:rFonts w:ascii="宋体" w:hAnsi="宋体" w:cs="宋体"/>
          <w:sz w:val="24"/>
        </w:rPr>
      </w:pPr>
      <w:r>
        <w:rPr>
          <w:rFonts w:hint="eastAsia" w:ascii="宋体" w:hAnsi="宋体"/>
          <w:sz w:val="24"/>
        </w:rPr>
        <w:t>（3）竞价人</w:t>
      </w:r>
      <w:r>
        <w:rPr>
          <w:rFonts w:hint="eastAsia" w:ascii="宋体" w:hAnsi="宋体" w:cs="宋体"/>
          <w:sz w:val="24"/>
        </w:rPr>
        <w:t>的资格声明。</w:t>
      </w:r>
    </w:p>
    <w:p>
      <w:pPr>
        <w:widowControl/>
        <w:spacing w:line="460" w:lineRule="exact"/>
        <w:ind w:firstLine="480" w:firstLineChars="200"/>
        <w:jc w:val="left"/>
        <w:rPr>
          <w:rFonts w:ascii="宋体" w:hAnsi="宋体" w:cs="宋体"/>
          <w:sz w:val="24"/>
        </w:rPr>
      </w:pPr>
      <w:r>
        <w:rPr>
          <w:rFonts w:hint="eastAsia" w:ascii="宋体" w:hAnsi="宋体"/>
          <w:sz w:val="24"/>
        </w:rPr>
        <w:t>（4）</w:t>
      </w:r>
      <w:r>
        <w:rPr>
          <w:rFonts w:hint="eastAsia" w:ascii="宋体" w:hAnsi="宋体" w:cs="宋体"/>
          <w:sz w:val="24"/>
        </w:rPr>
        <w:t>竞价承诺书。</w:t>
      </w:r>
    </w:p>
    <w:p>
      <w:pPr>
        <w:widowControl/>
        <w:spacing w:line="460" w:lineRule="exact"/>
        <w:ind w:firstLine="480" w:firstLineChars="200"/>
        <w:jc w:val="left"/>
        <w:rPr>
          <w:rFonts w:ascii="宋体" w:hAnsi="宋体" w:cs="宋体"/>
          <w:sz w:val="24"/>
        </w:rPr>
      </w:pPr>
      <w:r>
        <w:rPr>
          <w:rFonts w:hint="eastAsia" w:ascii="宋体" w:hAnsi="宋体"/>
          <w:sz w:val="24"/>
        </w:rPr>
        <w:t>（5）</w:t>
      </w:r>
      <w:r>
        <w:rPr>
          <w:rFonts w:hint="eastAsia" w:ascii="宋体" w:hAnsi="宋体" w:cs="宋体"/>
          <w:sz w:val="24"/>
        </w:rPr>
        <w:t>须提供参加政府采购活动前3年内在经营活动中没有重大违法记录的书面声明。</w:t>
      </w:r>
    </w:p>
    <w:p>
      <w:pPr>
        <w:widowControl/>
        <w:spacing w:line="460" w:lineRule="exact"/>
        <w:ind w:firstLine="480" w:firstLineChars="200"/>
        <w:jc w:val="left"/>
        <w:rPr>
          <w:rFonts w:ascii="宋体" w:hAnsi="宋体"/>
          <w:sz w:val="24"/>
        </w:rPr>
      </w:pPr>
      <w:r>
        <w:rPr>
          <w:rFonts w:hint="eastAsia" w:ascii="宋体" w:hAnsi="宋体"/>
          <w:sz w:val="24"/>
        </w:rPr>
        <w:t>（6）竞价人须完全响应第二章 “网上竞价内容及要求”中“二、技术参数及商务条款”所有要求，并提供承诺函，若有要求提交相关证明材料的，则须按规定提交。</w:t>
      </w:r>
    </w:p>
    <w:p>
      <w:pPr>
        <w:widowControl/>
        <w:spacing w:line="460" w:lineRule="exact"/>
        <w:ind w:firstLine="480" w:firstLineChars="200"/>
        <w:jc w:val="left"/>
        <w:rPr>
          <w:rFonts w:ascii="宋体" w:hAnsi="宋体" w:cs="宋体"/>
          <w:sz w:val="24"/>
        </w:rPr>
      </w:pPr>
      <w:r>
        <w:rPr>
          <w:rFonts w:hint="eastAsia" w:ascii="宋体" w:hAnsi="宋体"/>
          <w:sz w:val="24"/>
        </w:rPr>
        <w:t>（7）竞价人需提供网上竞价文件中其他规定的证明材料。</w:t>
      </w:r>
    </w:p>
    <w:p>
      <w:pPr>
        <w:widowControl/>
        <w:spacing w:line="460" w:lineRule="exact"/>
        <w:ind w:firstLine="482" w:firstLineChars="200"/>
        <w:jc w:val="left"/>
        <w:textAlignment w:val="baseline"/>
        <w:rPr>
          <w:rStyle w:val="26"/>
        </w:rPr>
      </w:pPr>
      <w:r>
        <w:rPr>
          <w:rStyle w:val="26"/>
          <w:rFonts w:ascii="宋体" w:hAnsi="宋体" w:cs="宋体"/>
          <w:b/>
          <w:bCs/>
          <w:sz w:val="24"/>
        </w:rPr>
        <w:t>注：</w:t>
      </w:r>
      <w:r>
        <w:rPr>
          <w:rStyle w:val="26"/>
          <w:rFonts w:hint="eastAsia" w:ascii="宋体" w:hAnsi="宋体" w:cs="宋体"/>
          <w:b/>
          <w:bCs/>
          <w:sz w:val="24"/>
        </w:rPr>
        <w:t>①</w:t>
      </w:r>
      <w:r>
        <w:rPr>
          <w:rStyle w:val="26"/>
          <w:rFonts w:ascii="宋体" w:hAnsi="宋体" w:cs="宋体"/>
          <w:b/>
          <w:bCs/>
          <w:sz w:val="24"/>
        </w:rPr>
        <w:t>以上材料均须加盖</w:t>
      </w:r>
      <w:r>
        <w:rPr>
          <w:rStyle w:val="26"/>
          <w:rFonts w:hint="eastAsia" w:ascii="宋体" w:hAnsi="宋体" w:cs="宋体"/>
          <w:b/>
          <w:bCs/>
          <w:sz w:val="24"/>
        </w:rPr>
        <w:t>竞价人</w:t>
      </w:r>
      <w:r>
        <w:rPr>
          <w:rStyle w:val="26"/>
          <w:rFonts w:ascii="宋体" w:hAnsi="宋体" w:cs="宋体"/>
          <w:b/>
          <w:bCs/>
          <w:sz w:val="24"/>
        </w:rPr>
        <w:t>单位公章</w:t>
      </w:r>
      <w:r>
        <w:rPr>
          <w:rStyle w:val="26"/>
          <w:rFonts w:hint="eastAsia" w:ascii="宋体" w:hAnsi="宋体" w:cs="宋体"/>
          <w:b/>
          <w:bCs/>
          <w:sz w:val="24"/>
        </w:rPr>
        <w:t>。</w:t>
      </w:r>
    </w:p>
    <w:p>
      <w:pPr>
        <w:spacing w:line="460" w:lineRule="exact"/>
        <w:ind w:firstLine="480" w:firstLineChars="200"/>
        <w:jc w:val="left"/>
        <w:rPr>
          <w:rFonts w:ascii="宋体" w:hAnsi="宋体" w:cs="宋体"/>
          <w:sz w:val="24"/>
        </w:rPr>
      </w:pPr>
      <w:r>
        <w:rPr>
          <w:rFonts w:hint="eastAsia" w:ascii="宋体" w:hAnsi="宋体" w:cs="宋体"/>
          <w:sz w:val="24"/>
        </w:rPr>
        <w:t>10.报名须知</w:t>
      </w:r>
    </w:p>
    <w:p>
      <w:pPr>
        <w:spacing w:line="460" w:lineRule="exact"/>
        <w:ind w:firstLine="480" w:firstLineChars="200"/>
        <w:jc w:val="left"/>
        <w:rPr>
          <w:rFonts w:ascii="宋体" w:hAnsi="宋体" w:cs="宋体"/>
          <w:kern w:val="0"/>
          <w:sz w:val="24"/>
        </w:rPr>
      </w:pPr>
      <w:r>
        <w:rPr>
          <w:rFonts w:hint="eastAsia" w:ascii="宋体" w:hAnsi="宋体"/>
          <w:sz w:val="24"/>
        </w:rPr>
        <w:t>（1）</w:t>
      </w:r>
      <w:r>
        <w:rPr>
          <w:rFonts w:hint="eastAsia" w:ascii="宋体" w:hAnsi="宋体" w:cs="宋体"/>
          <w:kern w:val="0"/>
          <w:sz w:val="24"/>
        </w:rPr>
        <w:t>福建省宏瑞招标代理有限公司将在中国政府采购网（www.ccgp.gov.cn）、福建省宏瑞招标代理有限公司网站（http://www.fjhongrui.com）上发布竞价公告。</w:t>
      </w:r>
    </w:p>
    <w:p>
      <w:pPr>
        <w:widowControl/>
        <w:spacing w:line="460" w:lineRule="exact"/>
        <w:ind w:firstLine="480" w:firstLineChars="200"/>
        <w:jc w:val="left"/>
        <w:rPr>
          <w:rFonts w:ascii="宋体" w:hAnsi="宋体" w:cs="宋体"/>
          <w:sz w:val="24"/>
        </w:rPr>
      </w:pPr>
      <w:r>
        <w:rPr>
          <w:rFonts w:hint="eastAsia" w:ascii="宋体" w:hAnsi="宋体"/>
          <w:sz w:val="24"/>
        </w:rPr>
        <w:t>（2）</w:t>
      </w:r>
      <w:r>
        <w:rPr>
          <w:rFonts w:hint="eastAsia" w:ascii="宋体" w:hAnsi="宋体" w:cs="宋体"/>
          <w:kern w:val="0"/>
          <w:sz w:val="24"/>
        </w:rPr>
        <w:t>竞价人对每个项目合同包报价时都必须扫描上传有效的报价文件并加盖公章，未按要求扫描上传报价文件的竞价无效。电子报价文档具有法律效力。</w:t>
      </w:r>
      <w:bookmarkStart w:id="57" w:name="_GoBack"/>
      <w:bookmarkEnd w:id="57"/>
    </w:p>
    <w:p>
      <w:pPr>
        <w:spacing w:line="460" w:lineRule="exact"/>
        <w:ind w:firstLine="480" w:firstLineChars="200"/>
        <w:rPr>
          <w:rFonts w:ascii="宋体" w:hAnsi="宋体" w:cs="宋体"/>
          <w:sz w:val="24"/>
        </w:rPr>
      </w:pPr>
      <w:r>
        <w:rPr>
          <w:rFonts w:hint="eastAsia" w:ascii="宋体" w:hAnsi="宋体"/>
          <w:sz w:val="24"/>
        </w:rPr>
        <w:t>（3）</w:t>
      </w:r>
      <w:r>
        <w:rPr>
          <w:rFonts w:hint="eastAsia" w:ascii="宋体" w:hAnsi="宋体" w:cs="宋体"/>
          <w:sz w:val="24"/>
        </w:rPr>
        <w:t>本项目代理服务费按</w:t>
      </w:r>
      <w:r>
        <w:rPr>
          <w:rFonts w:hint="eastAsia" w:ascii="宋体" w:hAnsi="宋体"/>
          <w:sz w:val="24"/>
        </w:rPr>
        <w:t>成交金额的1.5%计算，由</w:t>
      </w:r>
      <w:r>
        <w:rPr>
          <w:rFonts w:hint="eastAsia" w:ascii="宋体" w:hAnsi="宋体" w:cs="宋体"/>
          <w:sz w:val="24"/>
        </w:rPr>
        <w:t>成交人</w:t>
      </w:r>
      <w:r>
        <w:rPr>
          <w:rFonts w:hint="eastAsia" w:ascii="宋体" w:hAnsi="宋体"/>
          <w:sz w:val="24"/>
        </w:rPr>
        <w:t>支付。</w:t>
      </w:r>
    </w:p>
    <w:p>
      <w:pPr>
        <w:spacing w:line="460" w:lineRule="exact"/>
        <w:ind w:firstLine="480" w:firstLineChars="200"/>
        <w:rPr>
          <w:rFonts w:ascii="宋体" w:hAnsi="宋体" w:cs="宋体"/>
          <w:sz w:val="24"/>
        </w:rPr>
      </w:pPr>
      <w:r>
        <w:rPr>
          <w:rFonts w:hint="eastAsia" w:ascii="宋体" w:hAnsi="宋体" w:cs="宋体"/>
          <w:sz w:val="24"/>
        </w:rPr>
        <w:t>11.报名时间及方式</w:t>
      </w:r>
    </w:p>
    <w:p>
      <w:pPr>
        <w:widowControl/>
        <w:shd w:val="clear" w:color="auto" w:fill="FFFFFF"/>
        <w:spacing w:line="460" w:lineRule="exact"/>
        <w:ind w:firstLine="480" w:firstLineChars="200"/>
        <w:jc w:val="left"/>
        <w:rPr>
          <w:rStyle w:val="26"/>
          <w:rFonts w:ascii="宋体" w:hAnsi="宋体" w:cs="宋体"/>
          <w:sz w:val="24"/>
        </w:rPr>
      </w:pPr>
      <w:r>
        <w:rPr>
          <w:rFonts w:hint="eastAsia" w:ascii="宋体" w:hAnsi="宋体"/>
          <w:sz w:val="24"/>
        </w:rPr>
        <w:t>（1）潜在竞价人须于竞价须知中规定的报名时间内在福建省宏瑞招标代理有限公司网站竞价平台（http://bid.fjhongrui.com）办理注册，通过审核后办理报名登记，</w:t>
      </w:r>
      <w:r>
        <w:rPr>
          <w:rStyle w:val="26"/>
          <w:rFonts w:hint="eastAsia" w:ascii="宋体" w:hAnsi="宋体" w:cs="宋体"/>
          <w:sz w:val="24"/>
        </w:rPr>
        <w:t>按本竞价文件“第四章 响应文件格式”制作合格的响应文件，并</w:t>
      </w:r>
      <w:r>
        <w:rPr>
          <w:rStyle w:val="26"/>
          <w:rFonts w:ascii="宋体" w:hAnsi="宋体" w:cs="宋体"/>
          <w:sz w:val="24"/>
        </w:rPr>
        <w:t>在</w:t>
      </w:r>
      <w:r>
        <w:rPr>
          <w:rStyle w:val="26"/>
          <w:rFonts w:hint="eastAsia" w:ascii="宋体" w:hAnsi="宋体" w:cs="宋体"/>
          <w:sz w:val="24"/>
        </w:rPr>
        <w:t>竞价平台上</w:t>
      </w:r>
      <w:r>
        <w:rPr>
          <w:rStyle w:val="26"/>
          <w:rFonts w:ascii="宋体" w:hAnsi="宋体" w:cs="宋体"/>
          <w:kern w:val="0"/>
          <w:sz w:val="24"/>
        </w:rPr>
        <w:t>扫描上传</w:t>
      </w:r>
      <w:r>
        <w:rPr>
          <w:rStyle w:val="26"/>
          <w:rFonts w:hint="eastAsia" w:ascii="宋体" w:hAnsi="宋体" w:cs="宋体"/>
          <w:sz w:val="24"/>
        </w:rPr>
        <w:t>。</w:t>
      </w:r>
    </w:p>
    <w:p>
      <w:pPr>
        <w:spacing w:line="460" w:lineRule="exact"/>
        <w:ind w:firstLine="480" w:firstLineChars="200"/>
        <w:rPr>
          <w:rFonts w:ascii="宋体" w:hAnsi="宋体" w:cs="宋体"/>
          <w:sz w:val="24"/>
        </w:rPr>
      </w:pPr>
      <w:r>
        <w:rPr>
          <w:rFonts w:hint="eastAsia" w:ascii="宋体" w:hAnsi="宋体"/>
          <w:sz w:val="24"/>
        </w:rPr>
        <w:t>（2）</w:t>
      </w:r>
      <w:r>
        <w:rPr>
          <w:rFonts w:hint="eastAsia" w:ascii="宋体" w:hAnsi="宋体" w:cs="宋体"/>
          <w:sz w:val="24"/>
        </w:rPr>
        <w:t>报名网址：</w:t>
      </w:r>
      <w:r>
        <w:rPr>
          <w:rFonts w:hint="eastAsia" w:ascii="宋体" w:hAnsi="宋体"/>
          <w:sz w:val="24"/>
        </w:rPr>
        <w:t>福建省宏瑞招标代理有限公司网站竞价平台（http://bid.fjhongrui.com）</w:t>
      </w:r>
      <w:r>
        <w:rPr>
          <w:rFonts w:hint="eastAsia" w:ascii="宋体" w:hAnsi="宋体" w:cs="宋体"/>
          <w:sz w:val="24"/>
        </w:rPr>
        <w:t>。</w:t>
      </w:r>
    </w:p>
    <w:p>
      <w:pPr>
        <w:spacing w:line="460" w:lineRule="exact"/>
        <w:ind w:firstLine="480" w:firstLineChars="200"/>
        <w:rPr>
          <w:rFonts w:ascii="宋体" w:hAnsi="宋体" w:cs="宋体"/>
          <w:sz w:val="24"/>
        </w:rPr>
      </w:pPr>
      <w:r>
        <w:rPr>
          <w:rFonts w:hint="eastAsia" w:ascii="宋体" w:hAnsi="宋体"/>
          <w:sz w:val="24"/>
        </w:rPr>
        <w:t>（3）</w:t>
      </w:r>
      <w:r>
        <w:rPr>
          <w:rFonts w:hint="eastAsia" w:ascii="宋体" w:hAnsi="宋体" w:cs="宋体"/>
          <w:sz w:val="24"/>
        </w:rPr>
        <w:t>竞价报名费及缴纳竞价保证金：网上竞价报名费0元，竞价保证金1000元人民币，（竞价保证金须在竞价截止时间前一个工作日17：30前以对公形式转账到代理机构指定账户。代理机构将以开户银行提供的竞价保证金到帐时间为依据进行确认，账户信息详见下表）。</w:t>
      </w:r>
    </w:p>
    <w:tbl>
      <w:tblPr>
        <w:tblStyle w:val="18"/>
        <w:tblW w:w="0" w:type="auto"/>
        <w:tblCellSpacing w:w="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20"/>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20" w:type="dxa"/>
            <w:vMerge w:val="restart"/>
            <w:vAlign w:val="center"/>
          </w:tcPr>
          <w:p>
            <w:pPr>
              <w:spacing w:line="460" w:lineRule="exact"/>
              <w:rPr>
                <w:rFonts w:ascii="宋体" w:hAnsi="宋体" w:cs="宋体"/>
                <w:sz w:val="24"/>
              </w:rPr>
            </w:pPr>
            <w:r>
              <w:rPr>
                <w:rFonts w:hint="eastAsia" w:ascii="宋体" w:hAnsi="宋体"/>
                <w:sz w:val="24"/>
              </w:rPr>
              <w:t>保证金缴交银行帐号</w:t>
            </w:r>
          </w:p>
        </w:tc>
        <w:tc>
          <w:tcPr>
            <w:tcW w:w="6515" w:type="dxa"/>
            <w:vAlign w:val="center"/>
          </w:tcPr>
          <w:p>
            <w:pPr>
              <w:spacing w:line="460" w:lineRule="exact"/>
              <w:ind w:firstLine="480" w:firstLineChars="200"/>
              <w:rPr>
                <w:rFonts w:ascii="宋体" w:hAnsi="宋体" w:cs="宋体"/>
                <w:sz w:val="24"/>
              </w:rPr>
            </w:pPr>
            <w:r>
              <w:rPr>
                <w:rFonts w:hint="eastAsia" w:ascii="宋体" w:hAnsi="宋体" w:cs="宋体"/>
                <w:sz w:val="24"/>
              </w:rPr>
              <w:t>开 户 名：福建省宏瑞招标代理有限公司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20" w:type="dxa"/>
            <w:vMerge w:val="continue"/>
            <w:vAlign w:val="center"/>
          </w:tcPr>
          <w:p>
            <w:pPr>
              <w:spacing w:line="460" w:lineRule="exact"/>
              <w:ind w:firstLine="480" w:firstLineChars="200"/>
              <w:rPr>
                <w:rFonts w:ascii="宋体" w:hAnsi="宋体" w:cs="宋体"/>
                <w:sz w:val="24"/>
              </w:rPr>
            </w:pPr>
          </w:p>
        </w:tc>
        <w:tc>
          <w:tcPr>
            <w:tcW w:w="6515" w:type="dxa"/>
            <w:vAlign w:val="center"/>
          </w:tcPr>
          <w:p>
            <w:pPr>
              <w:spacing w:line="460" w:lineRule="exact"/>
              <w:ind w:firstLine="480" w:firstLineChars="200"/>
              <w:rPr>
                <w:rFonts w:ascii="宋体" w:hAnsi="宋体" w:cs="宋体"/>
                <w:sz w:val="24"/>
              </w:rPr>
            </w:pPr>
            <w:r>
              <w:rPr>
                <w:rFonts w:hint="eastAsia" w:ascii="宋体" w:hAnsi="宋体" w:cs="宋体"/>
                <w:sz w:val="24"/>
              </w:rPr>
              <w:t>开 户 行：中国建设银行股份有限公司福州市杨桥支行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20" w:type="dxa"/>
            <w:vMerge w:val="continue"/>
            <w:vAlign w:val="center"/>
          </w:tcPr>
          <w:p>
            <w:pPr>
              <w:spacing w:line="460" w:lineRule="exact"/>
              <w:ind w:firstLine="480" w:firstLineChars="200"/>
              <w:rPr>
                <w:rFonts w:ascii="宋体" w:hAnsi="宋体" w:cs="宋体"/>
                <w:sz w:val="24"/>
              </w:rPr>
            </w:pPr>
          </w:p>
        </w:tc>
        <w:tc>
          <w:tcPr>
            <w:tcW w:w="6515" w:type="dxa"/>
            <w:vAlign w:val="center"/>
          </w:tcPr>
          <w:p>
            <w:pPr>
              <w:spacing w:line="460" w:lineRule="exact"/>
              <w:ind w:firstLine="480" w:firstLineChars="200"/>
              <w:rPr>
                <w:rFonts w:ascii="宋体" w:hAnsi="宋体" w:cs="宋体"/>
                <w:sz w:val="24"/>
              </w:rPr>
            </w:pPr>
            <w:r>
              <w:rPr>
                <w:rFonts w:hint="eastAsia" w:ascii="宋体" w:hAnsi="宋体" w:cs="宋体"/>
                <w:sz w:val="24"/>
              </w:rPr>
              <w:t>账 号：35001877607052505105</w:t>
            </w:r>
          </w:p>
        </w:tc>
      </w:tr>
    </w:tbl>
    <w:p>
      <w:pPr>
        <w:widowControl/>
        <w:shd w:val="clear" w:color="auto" w:fill="FFFFFF"/>
        <w:spacing w:line="460" w:lineRule="exact"/>
        <w:ind w:firstLine="482" w:firstLineChars="200"/>
        <w:jc w:val="left"/>
        <w:rPr>
          <w:rFonts w:ascii="宋体" w:hAnsi="宋体"/>
          <w:sz w:val="24"/>
        </w:rPr>
      </w:pPr>
      <w:r>
        <w:rPr>
          <w:rStyle w:val="26"/>
          <w:rFonts w:hint="eastAsia" w:ascii="宋体" w:hAnsi="宋体" w:cs="宋体"/>
          <w:b/>
          <w:bCs/>
          <w:sz w:val="24"/>
          <w:u w:val="double"/>
        </w:rPr>
        <w:t>注：未在报名时间内完成上述（1）点中规定的注册、报名、上传合格的响应文件或未按（3）点规定提交竞价保证金的，其报名审核不通过，即不具备竞价资格</w:t>
      </w:r>
      <w:r>
        <w:rPr>
          <w:rStyle w:val="26"/>
          <w:rFonts w:ascii="宋体" w:hAnsi="宋体" w:cs="宋体"/>
          <w:b/>
          <w:bCs/>
          <w:sz w:val="24"/>
          <w:u w:val="double"/>
        </w:rPr>
        <w:t>。</w:t>
      </w:r>
    </w:p>
    <w:p>
      <w:pPr>
        <w:spacing w:line="460" w:lineRule="exact"/>
        <w:ind w:firstLine="480" w:firstLineChars="200"/>
        <w:rPr>
          <w:rFonts w:ascii="宋体" w:hAnsi="宋体"/>
          <w:sz w:val="24"/>
        </w:rPr>
      </w:pPr>
      <w:r>
        <w:rPr>
          <w:rFonts w:hint="eastAsia" w:ascii="宋体" w:hAnsi="宋体"/>
          <w:sz w:val="24"/>
        </w:rPr>
        <w:t>（4）报名审核通过后方可参与本项目竞价。</w:t>
      </w:r>
    </w:p>
    <w:p>
      <w:pPr>
        <w:spacing w:line="460" w:lineRule="exact"/>
        <w:ind w:firstLine="480" w:firstLineChars="200"/>
        <w:rPr>
          <w:rFonts w:ascii="宋体" w:hAnsi="宋体" w:cs="宋体"/>
          <w:kern w:val="0"/>
          <w:sz w:val="24"/>
        </w:rPr>
      </w:pPr>
      <w:r>
        <w:rPr>
          <w:rFonts w:hint="eastAsia" w:ascii="宋体" w:hAnsi="宋体" w:cs="宋体"/>
          <w:kern w:val="0"/>
          <w:sz w:val="24"/>
        </w:rPr>
        <w:t>12.</w:t>
      </w:r>
      <w:r>
        <w:rPr>
          <w:rStyle w:val="26"/>
          <w:rFonts w:ascii="宋体" w:hAnsi="宋体"/>
          <w:kern w:val="0"/>
          <w:sz w:val="24"/>
        </w:rPr>
        <w:t>竞价规则说明</w:t>
      </w:r>
    </w:p>
    <w:p>
      <w:pPr>
        <w:widowControl/>
        <w:spacing w:line="460" w:lineRule="exact"/>
        <w:ind w:firstLine="480" w:firstLineChars="200"/>
        <w:jc w:val="left"/>
        <w:textAlignment w:val="baseline"/>
        <w:rPr>
          <w:rStyle w:val="26"/>
          <w:rFonts w:ascii="宋体" w:hAnsi="宋体"/>
          <w:kern w:val="0"/>
          <w:sz w:val="24"/>
        </w:rPr>
      </w:pPr>
      <w:r>
        <w:rPr>
          <w:rFonts w:hint="eastAsia" w:ascii="宋体" w:hAnsi="宋体"/>
          <w:sz w:val="24"/>
        </w:rPr>
        <w:t>（1）</w:t>
      </w:r>
      <w:r>
        <w:rPr>
          <w:rStyle w:val="26"/>
          <w:rFonts w:ascii="宋体" w:hAnsi="宋体"/>
          <w:kern w:val="0"/>
          <w:sz w:val="24"/>
        </w:rPr>
        <w:t>网上竞价的报价时限为竞价起始时间</w:t>
      </w:r>
      <w:r>
        <w:rPr>
          <w:rStyle w:val="26"/>
          <w:rFonts w:hint="eastAsia" w:ascii="宋体" w:hAnsi="宋体"/>
          <w:kern w:val="0"/>
          <w:sz w:val="24"/>
        </w:rPr>
        <w:t>起至竞价截止时间止</w:t>
      </w:r>
      <w:r>
        <w:rPr>
          <w:rStyle w:val="26"/>
          <w:rFonts w:ascii="宋体" w:hAnsi="宋体"/>
          <w:kern w:val="0"/>
          <w:sz w:val="24"/>
        </w:rPr>
        <w:t>，在</w:t>
      </w:r>
      <w:r>
        <w:rPr>
          <w:rStyle w:val="26"/>
          <w:rFonts w:hint="eastAsia" w:ascii="宋体" w:hAnsi="宋体"/>
          <w:kern w:val="0"/>
          <w:sz w:val="24"/>
        </w:rPr>
        <w:t>竞价</w:t>
      </w:r>
      <w:r>
        <w:rPr>
          <w:rStyle w:val="26"/>
          <w:rFonts w:ascii="宋体" w:hAnsi="宋体"/>
          <w:kern w:val="0"/>
          <w:sz w:val="24"/>
        </w:rPr>
        <w:t>截止时间前，报名且通过审核的竞价人可通过宏瑞招标竞价平台多次参与竞价（不限报价次数，在规定时间内提交报价均可）。</w:t>
      </w:r>
    </w:p>
    <w:p>
      <w:pPr>
        <w:widowControl/>
        <w:spacing w:line="460" w:lineRule="exact"/>
        <w:ind w:firstLine="480" w:firstLineChars="200"/>
        <w:jc w:val="left"/>
        <w:textAlignment w:val="baseline"/>
        <w:rPr>
          <w:rStyle w:val="26"/>
          <w:rFonts w:ascii="宋体" w:hAnsi="宋体"/>
          <w:kern w:val="0"/>
          <w:sz w:val="24"/>
        </w:rPr>
      </w:pPr>
      <w:r>
        <w:rPr>
          <w:rFonts w:hint="eastAsia" w:ascii="宋体" w:hAnsi="宋体"/>
          <w:sz w:val="24"/>
        </w:rPr>
        <w:t>（2）</w:t>
      </w:r>
      <w:r>
        <w:rPr>
          <w:rStyle w:val="26"/>
          <w:rFonts w:ascii="宋体" w:hAnsi="宋体"/>
          <w:b/>
          <w:bCs/>
          <w:kern w:val="0"/>
          <w:sz w:val="24"/>
          <w:u w:val="double"/>
        </w:rPr>
        <w:t>竞价人首次提交的报价须</w:t>
      </w:r>
      <w:r>
        <w:rPr>
          <w:rStyle w:val="26"/>
          <w:rFonts w:hint="eastAsia" w:ascii="宋体" w:hAnsi="宋体"/>
          <w:b/>
          <w:bCs/>
          <w:kern w:val="0"/>
          <w:sz w:val="24"/>
          <w:u w:val="double"/>
        </w:rPr>
        <w:t>低于</w:t>
      </w:r>
      <w:r>
        <w:rPr>
          <w:rStyle w:val="26"/>
          <w:rFonts w:ascii="宋体" w:hAnsi="宋体"/>
          <w:b/>
          <w:bCs/>
          <w:kern w:val="0"/>
          <w:sz w:val="24"/>
          <w:u w:val="double"/>
        </w:rPr>
        <w:t>本项目最高限价</w:t>
      </w:r>
      <w:r>
        <w:rPr>
          <w:rStyle w:val="26"/>
          <w:rFonts w:hint="eastAsia" w:ascii="宋体" w:hAnsi="宋体"/>
          <w:b/>
          <w:bCs/>
          <w:kern w:val="0"/>
          <w:sz w:val="24"/>
          <w:u w:val="double"/>
        </w:rPr>
        <w:t>的3%（不含）以上</w:t>
      </w:r>
      <w:r>
        <w:rPr>
          <w:rStyle w:val="26"/>
          <w:rFonts w:ascii="宋体" w:hAnsi="宋体"/>
          <w:kern w:val="0"/>
          <w:sz w:val="24"/>
        </w:rPr>
        <w:t>，否则</w:t>
      </w:r>
      <w:r>
        <w:rPr>
          <w:rStyle w:val="26"/>
          <w:rFonts w:ascii="宋体" w:hAnsi="宋体" w:cs="宋体"/>
          <w:b/>
          <w:bCs/>
          <w:kern w:val="0"/>
          <w:sz w:val="24"/>
        </w:rPr>
        <w:t>视为无效报价</w:t>
      </w:r>
      <w:r>
        <w:rPr>
          <w:rStyle w:val="26"/>
          <w:rFonts w:ascii="宋体" w:hAnsi="宋体"/>
          <w:kern w:val="0"/>
          <w:sz w:val="24"/>
        </w:rPr>
        <w:t>。在报价时限内，</w:t>
      </w:r>
      <w:r>
        <w:rPr>
          <w:rStyle w:val="26"/>
          <w:rFonts w:hint="eastAsia" w:ascii="宋体" w:hAnsi="宋体"/>
          <w:kern w:val="0"/>
          <w:sz w:val="24"/>
        </w:rPr>
        <w:t>竞价人</w:t>
      </w:r>
      <w:r>
        <w:rPr>
          <w:rStyle w:val="26"/>
          <w:rFonts w:ascii="宋体" w:hAnsi="宋体"/>
          <w:kern w:val="0"/>
          <w:sz w:val="24"/>
        </w:rPr>
        <w:t>多次报价的</w:t>
      </w:r>
      <w:r>
        <w:rPr>
          <w:rStyle w:val="26"/>
          <w:rFonts w:hint="eastAsia" w:ascii="宋体" w:hAnsi="宋体"/>
          <w:kern w:val="0"/>
          <w:sz w:val="24"/>
        </w:rPr>
        <w:t>情况下</w:t>
      </w:r>
      <w:r>
        <w:rPr>
          <w:rStyle w:val="26"/>
          <w:rFonts w:ascii="宋体" w:hAnsi="宋体"/>
          <w:kern w:val="0"/>
          <w:sz w:val="24"/>
        </w:rPr>
        <w:t>，报价金额必须小于自己上一次的报价金额，在报价时限内竞价人提交的最后一次报价作为该竞价人的最后报价。</w:t>
      </w:r>
    </w:p>
    <w:p>
      <w:pPr>
        <w:widowControl/>
        <w:spacing w:line="460" w:lineRule="exact"/>
        <w:ind w:firstLine="480" w:firstLineChars="200"/>
        <w:jc w:val="left"/>
        <w:textAlignment w:val="baseline"/>
        <w:rPr>
          <w:rStyle w:val="26"/>
          <w:rFonts w:ascii="宋体" w:hAnsi="宋体"/>
          <w:kern w:val="0"/>
          <w:sz w:val="24"/>
        </w:rPr>
      </w:pPr>
      <w:r>
        <w:rPr>
          <w:rStyle w:val="26"/>
          <w:rFonts w:hint="eastAsia" w:ascii="宋体" w:hAnsi="宋体"/>
          <w:kern w:val="0"/>
          <w:sz w:val="24"/>
        </w:rPr>
        <w:t>竞价人</w:t>
      </w:r>
      <w:r>
        <w:rPr>
          <w:rStyle w:val="26"/>
          <w:rFonts w:ascii="宋体" w:hAnsi="宋体"/>
          <w:kern w:val="0"/>
          <w:sz w:val="24"/>
        </w:rPr>
        <w:t>在竞价平台提交的报价明显低于其他合格</w:t>
      </w:r>
      <w:r>
        <w:rPr>
          <w:rStyle w:val="26"/>
          <w:rFonts w:hint="eastAsia" w:ascii="宋体" w:hAnsi="宋体"/>
          <w:kern w:val="0"/>
          <w:sz w:val="24"/>
        </w:rPr>
        <w:t>竞价人</w:t>
      </w:r>
      <w:r>
        <w:rPr>
          <w:rStyle w:val="26"/>
          <w:rFonts w:ascii="宋体" w:hAnsi="宋体"/>
          <w:kern w:val="0"/>
          <w:sz w:val="24"/>
        </w:rPr>
        <w:t>的报价，有可能影响产品（服务）质量或不能诚信履约的，采购人有权要求其在半个小时内提供书面说明，必要时还应要求其一并提交有关证明材料；</w:t>
      </w:r>
      <w:r>
        <w:rPr>
          <w:rStyle w:val="26"/>
          <w:rFonts w:hint="eastAsia" w:ascii="宋体" w:hAnsi="宋体"/>
          <w:kern w:val="0"/>
          <w:sz w:val="24"/>
        </w:rPr>
        <w:t>竞价人</w:t>
      </w:r>
      <w:r>
        <w:rPr>
          <w:rStyle w:val="26"/>
          <w:rFonts w:ascii="宋体" w:hAnsi="宋体"/>
          <w:kern w:val="0"/>
          <w:sz w:val="24"/>
        </w:rPr>
        <w:t>不能证明其报价合理性的，</w:t>
      </w:r>
      <w:r>
        <w:rPr>
          <w:rFonts w:hint="eastAsia" w:ascii="宋体" w:hAnsi="宋体" w:cs="宋体"/>
          <w:b/>
          <w:bCs/>
          <w:kern w:val="0"/>
          <w:sz w:val="24"/>
        </w:rPr>
        <w:t>视为无效报价，采购人有权没收其竞价保证金。</w:t>
      </w:r>
    </w:p>
    <w:p>
      <w:pPr>
        <w:widowControl/>
        <w:spacing w:line="460" w:lineRule="exact"/>
        <w:ind w:firstLine="480" w:firstLineChars="200"/>
        <w:jc w:val="left"/>
        <w:textAlignment w:val="baseline"/>
        <w:rPr>
          <w:rStyle w:val="26"/>
          <w:rFonts w:ascii="宋体" w:hAnsi="宋体"/>
          <w:kern w:val="0"/>
          <w:sz w:val="24"/>
        </w:rPr>
      </w:pPr>
      <w:r>
        <w:rPr>
          <w:rFonts w:hint="eastAsia" w:ascii="宋体" w:hAnsi="宋体"/>
          <w:sz w:val="24"/>
        </w:rPr>
        <w:t>（3</w:t>
      </w:r>
      <w:r>
        <w:rPr>
          <w:rStyle w:val="26"/>
          <w:rFonts w:hint="eastAsia" w:ascii="宋体" w:hAnsi="宋体"/>
          <w:kern w:val="0"/>
          <w:sz w:val="24"/>
        </w:rPr>
        <w:t>）本项目确定的成交人家数：本项目推荐一名成交候选人；竞价人</w:t>
      </w:r>
      <w:r>
        <w:rPr>
          <w:rStyle w:val="26"/>
          <w:rFonts w:ascii="宋体" w:hAnsi="宋体"/>
          <w:kern w:val="0"/>
          <w:sz w:val="24"/>
        </w:rPr>
        <w:t>在</w:t>
      </w:r>
      <w:r>
        <w:rPr>
          <w:rStyle w:val="26"/>
          <w:rFonts w:hint="eastAsia" w:ascii="宋体" w:hAnsi="宋体"/>
          <w:kern w:val="0"/>
          <w:sz w:val="24"/>
        </w:rPr>
        <w:t>完全满足</w:t>
      </w:r>
      <w:r>
        <w:rPr>
          <w:rStyle w:val="26"/>
          <w:rFonts w:ascii="宋体" w:hAnsi="宋体"/>
          <w:kern w:val="0"/>
          <w:sz w:val="24"/>
        </w:rPr>
        <w:t>采购需求且报价有效的前提下，最后报价最低者</w:t>
      </w:r>
      <w:r>
        <w:rPr>
          <w:rStyle w:val="26"/>
          <w:rFonts w:hint="eastAsia" w:ascii="宋体" w:hAnsi="宋体"/>
          <w:kern w:val="0"/>
          <w:sz w:val="24"/>
        </w:rPr>
        <w:t>作为</w:t>
      </w:r>
      <w:r>
        <w:rPr>
          <w:rStyle w:val="26"/>
          <w:rFonts w:ascii="宋体" w:hAnsi="宋体"/>
          <w:kern w:val="0"/>
          <w:sz w:val="24"/>
        </w:rPr>
        <w:t>成交</w:t>
      </w:r>
      <w:r>
        <w:rPr>
          <w:rStyle w:val="26"/>
          <w:rFonts w:hint="eastAsia" w:ascii="宋体" w:hAnsi="宋体"/>
          <w:kern w:val="0"/>
          <w:sz w:val="24"/>
        </w:rPr>
        <w:t>候选人</w:t>
      </w:r>
      <w:r>
        <w:rPr>
          <w:rStyle w:val="26"/>
          <w:rFonts w:ascii="宋体" w:hAnsi="宋体"/>
          <w:kern w:val="0"/>
          <w:sz w:val="24"/>
        </w:rPr>
        <w:t>，若最后报价相同的，则按竞价人提交的最后报价先后顺序确定成交</w:t>
      </w:r>
      <w:r>
        <w:rPr>
          <w:rStyle w:val="26"/>
          <w:rFonts w:hint="eastAsia" w:ascii="宋体" w:hAnsi="宋体"/>
          <w:kern w:val="0"/>
          <w:sz w:val="24"/>
        </w:rPr>
        <w:t>候选</w:t>
      </w:r>
      <w:r>
        <w:rPr>
          <w:rStyle w:val="26"/>
          <w:rFonts w:ascii="宋体" w:hAnsi="宋体"/>
          <w:kern w:val="0"/>
          <w:sz w:val="24"/>
        </w:rPr>
        <w:t>人，即提出该最后报价时间较早的作为成交</w:t>
      </w:r>
      <w:r>
        <w:rPr>
          <w:rStyle w:val="26"/>
          <w:rFonts w:hint="eastAsia" w:ascii="宋体" w:hAnsi="宋体"/>
          <w:kern w:val="0"/>
          <w:sz w:val="24"/>
        </w:rPr>
        <w:t>候选</w:t>
      </w:r>
      <w:r>
        <w:rPr>
          <w:rStyle w:val="26"/>
          <w:rFonts w:ascii="宋体" w:hAnsi="宋体"/>
          <w:kern w:val="0"/>
          <w:sz w:val="24"/>
        </w:rPr>
        <w:t>人。若出现上述结果均相同的，则采取随机抽取方式确定。</w:t>
      </w:r>
    </w:p>
    <w:p>
      <w:pPr>
        <w:widowControl/>
        <w:spacing w:line="460" w:lineRule="exact"/>
        <w:ind w:firstLine="480" w:firstLineChars="200"/>
        <w:textAlignment w:val="baseline"/>
        <w:rPr>
          <w:rStyle w:val="26"/>
          <w:rFonts w:ascii="宋体" w:hAnsi="宋体"/>
          <w:kern w:val="0"/>
          <w:sz w:val="24"/>
        </w:rPr>
      </w:pPr>
      <w:r>
        <w:rPr>
          <w:rFonts w:hint="eastAsia" w:ascii="宋体" w:hAnsi="宋体"/>
          <w:sz w:val="24"/>
        </w:rPr>
        <w:t>（4）</w:t>
      </w:r>
      <w:r>
        <w:rPr>
          <w:rStyle w:val="26"/>
          <w:rFonts w:hint="eastAsia" w:ascii="宋体" w:hAnsi="宋体"/>
          <w:kern w:val="0"/>
          <w:sz w:val="24"/>
        </w:rPr>
        <w:t>竞价人在竞价平台上传的响应文件扫描件</w:t>
      </w:r>
      <w:r>
        <w:rPr>
          <w:rStyle w:val="26"/>
          <w:rFonts w:ascii="宋体" w:hAnsi="宋体"/>
          <w:kern w:val="0"/>
          <w:sz w:val="24"/>
        </w:rPr>
        <w:t>具有法律效力。</w:t>
      </w:r>
    </w:p>
    <w:p>
      <w:pPr>
        <w:widowControl/>
        <w:spacing w:line="460" w:lineRule="exact"/>
        <w:ind w:firstLine="480" w:firstLineChars="200"/>
        <w:textAlignment w:val="baseline"/>
        <w:rPr>
          <w:rFonts w:ascii="宋体" w:hAnsi="宋体"/>
          <w:b/>
          <w:bCs/>
          <w:sz w:val="24"/>
        </w:rPr>
      </w:pPr>
      <w:r>
        <w:rPr>
          <w:rFonts w:hint="eastAsia" w:ascii="宋体" w:hAnsi="宋体"/>
          <w:sz w:val="24"/>
        </w:rPr>
        <w:t>（5）</w:t>
      </w:r>
      <w:r>
        <w:rPr>
          <w:rFonts w:hint="eastAsia" w:ascii="宋体" w:hAnsi="宋体"/>
          <w:b/>
          <w:bCs/>
          <w:sz w:val="24"/>
        </w:rPr>
        <w:t>竞价人请认真阅读本竞价文件所有条款内容，一经提交响应文件，即视为知悉并同意竞价文件规定的所有条款内容，并不得在竞价后以任何理由对竞价文件提出质疑。在成交后须按竞价文件规定执行，否则视为虚假响应，采购人将追究其相应责任，如保证金不予退还或履约保证金不予退还等，对于采购人产生的损失还应予以赔偿。</w:t>
      </w:r>
    </w:p>
    <w:p>
      <w:pPr>
        <w:widowControl/>
        <w:spacing w:line="460" w:lineRule="exact"/>
        <w:ind w:firstLine="480" w:firstLineChars="200"/>
        <w:jc w:val="left"/>
        <w:rPr>
          <w:rFonts w:ascii="宋体" w:hAnsi="宋体" w:cs="宋体"/>
          <w:kern w:val="0"/>
          <w:sz w:val="24"/>
        </w:rPr>
      </w:pPr>
      <w:r>
        <w:rPr>
          <w:rFonts w:hint="eastAsia" w:ascii="宋体" w:hAnsi="宋体"/>
          <w:sz w:val="24"/>
        </w:rPr>
        <w:t>（6）</w:t>
      </w:r>
      <w:r>
        <w:rPr>
          <w:rStyle w:val="26"/>
          <w:rFonts w:hint="eastAsia" w:ascii="宋体" w:hAnsi="宋体"/>
          <w:kern w:val="0"/>
          <w:sz w:val="24"/>
        </w:rPr>
        <w:t>竞价人可在</w:t>
      </w:r>
      <w:r>
        <w:rPr>
          <w:rStyle w:val="26"/>
          <w:rFonts w:ascii="宋体" w:hAnsi="宋体"/>
          <w:kern w:val="0"/>
          <w:sz w:val="24"/>
        </w:rPr>
        <w:t>福建省宏瑞招标代理有限公司网站（http://www.fjhongrui.com）下载中心下载“宏瑞招标网上竞价系统操作手册-</w:t>
      </w:r>
      <w:r>
        <w:rPr>
          <w:rStyle w:val="26"/>
          <w:rFonts w:hint="eastAsia" w:ascii="宋体" w:hAnsi="宋体"/>
          <w:kern w:val="0"/>
          <w:sz w:val="24"/>
        </w:rPr>
        <w:t>竞价人</w:t>
      </w:r>
      <w:r>
        <w:rPr>
          <w:rStyle w:val="26"/>
          <w:rFonts w:ascii="宋体" w:hAnsi="宋体"/>
          <w:kern w:val="0"/>
          <w:sz w:val="24"/>
        </w:rPr>
        <w:t>端v1.0”指引，</w:t>
      </w:r>
      <w:r>
        <w:rPr>
          <w:rStyle w:val="26"/>
          <w:rFonts w:hint="eastAsia" w:ascii="宋体" w:hAnsi="宋体"/>
          <w:kern w:val="0"/>
          <w:sz w:val="24"/>
        </w:rPr>
        <w:t>根据说明</w:t>
      </w:r>
      <w:r>
        <w:rPr>
          <w:rStyle w:val="26"/>
          <w:rFonts w:ascii="宋体" w:hAnsi="宋体"/>
          <w:kern w:val="0"/>
          <w:sz w:val="24"/>
        </w:rPr>
        <w:t>进行报名、下载、上传、竞价等相关操作，</w:t>
      </w:r>
      <w:r>
        <w:rPr>
          <w:rStyle w:val="26"/>
          <w:rFonts w:hint="eastAsia" w:ascii="宋体" w:hAnsi="宋体"/>
          <w:kern w:val="0"/>
          <w:sz w:val="24"/>
        </w:rPr>
        <w:t>若实际系统操作中与操作手册不一致的，以实际系统要求的进行操作，</w:t>
      </w:r>
      <w:r>
        <w:rPr>
          <w:rStyle w:val="26"/>
          <w:rFonts w:ascii="宋体" w:hAnsi="宋体"/>
          <w:kern w:val="0"/>
          <w:sz w:val="24"/>
        </w:rPr>
        <w:t>若因</w:t>
      </w:r>
      <w:r>
        <w:rPr>
          <w:rStyle w:val="26"/>
          <w:rFonts w:hint="eastAsia" w:ascii="宋体" w:hAnsi="宋体"/>
          <w:kern w:val="0"/>
          <w:sz w:val="24"/>
        </w:rPr>
        <w:t>竞价人</w:t>
      </w:r>
      <w:r>
        <w:rPr>
          <w:rStyle w:val="26"/>
          <w:rFonts w:ascii="宋体" w:hAnsi="宋体"/>
          <w:kern w:val="0"/>
          <w:sz w:val="24"/>
        </w:rPr>
        <w:t>自身操作不当原因导致报名、下载、上传、竞价等无效，应自行承担相应后果。</w:t>
      </w:r>
    </w:p>
    <w:p>
      <w:pPr>
        <w:widowControl/>
        <w:spacing w:line="460" w:lineRule="exact"/>
        <w:ind w:firstLine="480" w:firstLineChars="200"/>
        <w:jc w:val="left"/>
        <w:rPr>
          <w:rFonts w:ascii="宋体" w:hAnsi="宋体" w:cs="宋体"/>
          <w:sz w:val="24"/>
        </w:rPr>
      </w:pPr>
      <w:r>
        <w:rPr>
          <w:rFonts w:hint="eastAsia" w:ascii="宋体" w:hAnsi="宋体" w:cs="宋体"/>
          <w:sz w:val="24"/>
        </w:rPr>
        <w:t>13.最终有效报价确认办法</w:t>
      </w:r>
    </w:p>
    <w:p>
      <w:pPr>
        <w:widowControl/>
        <w:spacing w:line="460" w:lineRule="exact"/>
        <w:ind w:firstLine="480" w:firstLineChars="200"/>
        <w:jc w:val="left"/>
        <w:rPr>
          <w:rFonts w:ascii="宋体" w:hAnsi="宋体" w:cs="宋体"/>
          <w:sz w:val="24"/>
        </w:rPr>
      </w:pPr>
      <w:r>
        <w:rPr>
          <w:rFonts w:hint="eastAsia" w:ascii="宋体" w:hAnsi="宋体" w:cs="宋体"/>
          <w:sz w:val="24"/>
        </w:rPr>
        <w:t>（1）在提交的响应文件全部满足竞价文件要求的前提下依据统一的价格要素评定最低报价,按最后报价最低者作为成交候选人，经采购人确认后作为成交人。</w:t>
      </w:r>
    </w:p>
    <w:p>
      <w:pPr>
        <w:widowControl/>
        <w:spacing w:line="460" w:lineRule="exact"/>
        <w:ind w:firstLine="480" w:firstLineChars="200"/>
        <w:jc w:val="left"/>
        <w:rPr>
          <w:rFonts w:ascii="宋体" w:hAnsi="宋体" w:cs="宋体"/>
          <w:sz w:val="24"/>
        </w:rPr>
      </w:pPr>
      <w:r>
        <w:rPr>
          <w:rFonts w:hint="eastAsia" w:ascii="宋体" w:hAnsi="宋体" w:cs="宋体"/>
          <w:sz w:val="24"/>
        </w:rPr>
        <w:t>（2）算术错误将按以下方法更正：</w:t>
      </w:r>
    </w:p>
    <w:p>
      <w:pPr>
        <w:widowControl/>
        <w:spacing w:line="460" w:lineRule="exact"/>
        <w:ind w:firstLine="480" w:firstLineChars="200"/>
        <w:jc w:val="left"/>
        <w:rPr>
          <w:rFonts w:ascii="宋体" w:hAnsi="宋体" w:cs="宋体"/>
          <w:sz w:val="24"/>
        </w:rPr>
      </w:pPr>
      <w:r>
        <w:rPr>
          <w:rFonts w:hint="eastAsia" w:ascii="宋体" w:hAnsi="宋体" w:cs="宋体"/>
          <w:sz w:val="24"/>
        </w:rPr>
        <w:t>①竞价人在竞价平台提交的最后一次报价与竞价人最后一次上传的报价文件中的报价一览表总价不一致的，以竞价人在竞价平台提交的最后一次报价为准；</w:t>
      </w:r>
    </w:p>
    <w:p>
      <w:pPr>
        <w:widowControl/>
        <w:spacing w:line="460" w:lineRule="exact"/>
        <w:ind w:firstLine="480" w:firstLineChars="200"/>
        <w:jc w:val="left"/>
        <w:rPr>
          <w:rFonts w:ascii="宋体" w:hAnsi="宋体" w:cs="宋体"/>
          <w:sz w:val="24"/>
        </w:rPr>
      </w:pPr>
      <w:r>
        <w:rPr>
          <w:rFonts w:hint="eastAsia" w:ascii="宋体" w:hAnsi="宋体" w:cs="宋体"/>
          <w:sz w:val="24"/>
        </w:rPr>
        <w:t>②报价一览表中大写金额和小写金额不一致的，以大写金额为准；</w:t>
      </w:r>
    </w:p>
    <w:p>
      <w:pPr>
        <w:widowControl/>
        <w:spacing w:line="460" w:lineRule="exact"/>
        <w:ind w:firstLine="480" w:firstLineChars="200"/>
        <w:jc w:val="left"/>
        <w:rPr>
          <w:rFonts w:ascii="宋体" w:hAnsi="宋体" w:cs="宋体"/>
          <w:sz w:val="24"/>
        </w:rPr>
      </w:pPr>
      <w:r>
        <w:rPr>
          <w:rFonts w:hint="eastAsia" w:ascii="宋体" w:hAnsi="宋体" w:cs="宋体"/>
          <w:sz w:val="24"/>
        </w:rPr>
        <w:t>③报价一览表中单价金额小数点或百分比有明显错位的，以报价一览表的总价为准，并修改单价；</w:t>
      </w:r>
    </w:p>
    <w:p>
      <w:pPr>
        <w:widowControl/>
        <w:spacing w:line="460" w:lineRule="exact"/>
        <w:ind w:firstLine="480" w:firstLineChars="200"/>
        <w:jc w:val="left"/>
        <w:rPr>
          <w:rFonts w:ascii="宋体" w:hAnsi="宋体" w:cs="宋体"/>
          <w:sz w:val="24"/>
        </w:rPr>
      </w:pPr>
      <w:r>
        <w:rPr>
          <w:rFonts w:hint="eastAsia" w:ascii="宋体" w:hAnsi="宋体" w:cs="宋体"/>
          <w:sz w:val="24"/>
        </w:rPr>
        <w:t>④报价一览表中总价金额与按照单价汇总金额不一致的，以单价金额计算结果为准。</w:t>
      </w:r>
    </w:p>
    <w:p>
      <w:pPr>
        <w:widowControl/>
        <w:spacing w:line="460" w:lineRule="exact"/>
        <w:ind w:firstLine="482" w:firstLineChars="200"/>
        <w:jc w:val="left"/>
        <w:rPr>
          <w:rFonts w:ascii="宋体" w:hAnsi="宋体" w:cs="宋体"/>
          <w:b/>
          <w:bCs/>
          <w:sz w:val="24"/>
        </w:rPr>
      </w:pPr>
      <w:r>
        <w:rPr>
          <w:rFonts w:hint="eastAsia" w:ascii="宋体" w:hAnsi="宋体" w:cs="宋体"/>
          <w:b/>
          <w:bCs/>
          <w:sz w:val="24"/>
        </w:rPr>
        <w:t>※同时出现两种以上不一致的，按照前款规定的顺序修正。</w:t>
      </w:r>
    </w:p>
    <w:p>
      <w:pPr>
        <w:spacing w:line="460" w:lineRule="exact"/>
        <w:ind w:firstLine="480" w:firstLineChars="200"/>
        <w:rPr>
          <w:rFonts w:ascii="宋体" w:hAnsi="宋体" w:cs="宋体"/>
          <w:sz w:val="24"/>
        </w:rPr>
      </w:pPr>
      <w:r>
        <w:rPr>
          <w:rFonts w:hint="eastAsia" w:ascii="宋体" w:hAnsi="宋体" w:cs="宋体"/>
          <w:sz w:val="24"/>
        </w:rPr>
        <w:t>14.竞价人应遵守采购相关法规，若竞价人违反规定，将按有关规定处理。</w:t>
      </w:r>
    </w:p>
    <w:p>
      <w:pPr>
        <w:spacing w:line="460" w:lineRule="exact"/>
        <w:ind w:firstLine="480" w:firstLineChars="200"/>
        <w:jc w:val="left"/>
        <w:rPr>
          <w:rFonts w:ascii="宋体" w:hAnsi="宋体" w:cs="宋体"/>
          <w:sz w:val="24"/>
        </w:rPr>
      </w:pPr>
      <w:r>
        <w:rPr>
          <w:rFonts w:hint="eastAsia" w:ascii="宋体" w:hAnsi="宋体" w:cs="宋体"/>
          <w:sz w:val="24"/>
        </w:rPr>
        <w:t>15.竞价结果确认</w:t>
      </w:r>
    </w:p>
    <w:p>
      <w:pPr>
        <w:widowControl/>
        <w:spacing w:line="460" w:lineRule="exact"/>
        <w:ind w:firstLine="480" w:firstLineChars="200"/>
        <w:jc w:val="left"/>
        <w:rPr>
          <w:rFonts w:ascii="宋体" w:hAnsi="宋体" w:cs="宋体"/>
          <w:sz w:val="24"/>
        </w:rPr>
      </w:pPr>
      <w:r>
        <w:rPr>
          <w:rFonts w:hint="eastAsia" w:ascii="宋体" w:hAnsi="宋体"/>
          <w:sz w:val="24"/>
        </w:rPr>
        <w:t>（1）</w:t>
      </w:r>
      <w:r>
        <w:rPr>
          <w:rFonts w:hint="eastAsia" w:ascii="宋体" w:hAnsi="宋体" w:cs="宋体"/>
          <w:sz w:val="24"/>
        </w:rPr>
        <w:t>网上竞价截止时间止，福建省宏瑞招标代理有限公司以书面方式通知采购人。同时将成交结果信息在</w:t>
      </w:r>
      <w:r>
        <w:rPr>
          <w:rFonts w:hint="eastAsia" w:ascii="宋体" w:hAnsi="宋体" w:cs="宋体"/>
          <w:kern w:val="0"/>
          <w:sz w:val="24"/>
        </w:rPr>
        <w:t>在中国政府采购网，网址www.ccgp.gov.cn、福建省宏瑞招标代理有限公司网站（http://www.fjhongrui.com）</w:t>
      </w:r>
      <w:r>
        <w:rPr>
          <w:rFonts w:hint="eastAsia" w:ascii="宋体" w:hAnsi="宋体" w:cs="宋体"/>
          <w:sz w:val="24"/>
        </w:rPr>
        <w:t>上公告，公告期限为本公告之日起1个工作日。</w:t>
      </w:r>
    </w:p>
    <w:p>
      <w:pPr>
        <w:widowControl/>
        <w:spacing w:line="460" w:lineRule="exact"/>
        <w:ind w:firstLine="480" w:firstLineChars="200"/>
        <w:jc w:val="left"/>
        <w:rPr>
          <w:rFonts w:ascii="宋体" w:hAnsi="宋体" w:cs="宋体"/>
          <w:sz w:val="24"/>
        </w:rPr>
      </w:pPr>
      <w:r>
        <w:rPr>
          <w:rFonts w:hint="eastAsia" w:ascii="宋体" w:hAnsi="宋体" w:cs="宋体"/>
          <w:sz w:val="24"/>
        </w:rPr>
        <w:t>（2）采购单位在提出采购需求时指定品牌的，须在采购单位指定的品牌范围内选定，不符合规定的，</w:t>
      </w:r>
      <w:r>
        <w:rPr>
          <w:rFonts w:hint="eastAsia" w:ascii="宋体" w:hAnsi="宋体" w:cs="宋体"/>
          <w:b/>
          <w:bCs/>
          <w:sz w:val="24"/>
        </w:rPr>
        <w:t>其竞价无效。</w:t>
      </w:r>
    </w:p>
    <w:p>
      <w:pPr>
        <w:widowControl/>
        <w:spacing w:line="460" w:lineRule="exact"/>
        <w:ind w:firstLine="480" w:firstLineChars="200"/>
        <w:jc w:val="left"/>
        <w:rPr>
          <w:rFonts w:ascii="宋体" w:hAnsi="宋体" w:cs="宋体"/>
          <w:sz w:val="24"/>
        </w:rPr>
      </w:pPr>
      <w:r>
        <w:rPr>
          <w:rFonts w:hint="eastAsia" w:ascii="宋体" w:hAnsi="宋体" w:cs="宋体"/>
          <w:sz w:val="24"/>
        </w:rPr>
        <w:t>16.竞价报价偏差</w:t>
      </w:r>
    </w:p>
    <w:p>
      <w:pPr>
        <w:widowControl/>
        <w:spacing w:line="460" w:lineRule="exact"/>
        <w:ind w:firstLine="480" w:firstLineChars="200"/>
        <w:jc w:val="left"/>
        <w:rPr>
          <w:rFonts w:ascii="宋体" w:hAnsi="宋体" w:cs="宋体"/>
          <w:sz w:val="24"/>
        </w:rPr>
      </w:pPr>
      <w:r>
        <w:rPr>
          <w:rFonts w:hint="eastAsia" w:ascii="宋体" w:hAnsi="宋体"/>
          <w:sz w:val="24"/>
        </w:rPr>
        <w:t>（1）</w:t>
      </w:r>
      <w:r>
        <w:rPr>
          <w:rFonts w:hint="eastAsia" w:ascii="宋体" w:hAnsi="宋体" w:cs="宋体"/>
          <w:sz w:val="24"/>
        </w:rPr>
        <w:t>重大偏差。下列情况属于重大偏差：</w:t>
      </w:r>
    </w:p>
    <w:p>
      <w:pPr>
        <w:widowControl/>
        <w:spacing w:line="460" w:lineRule="exact"/>
        <w:ind w:firstLine="480" w:firstLineChars="200"/>
        <w:jc w:val="left"/>
        <w:rPr>
          <w:rFonts w:ascii="宋体" w:hAnsi="宋体" w:cs="宋体"/>
          <w:sz w:val="24"/>
        </w:rPr>
      </w:pPr>
      <w:r>
        <w:rPr>
          <w:rFonts w:hint="eastAsia" w:ascii="宋体" w:hAnsi="宋体" w:cs="宋体"/>
          <w:sz w:val="24"/>
        </w:rPr>
        <w:t>①响应文件未按竞价文件要求加盖公章并由单位负责人或其书面授权的代理人签字的；</w:t>
      </w:r>
    </w:p>
    <w:p>
      <w:pPr>
        <w:widowControl/>
        <w:spacing w:line="460" w:lineRule="exact"/>
        <w:ind w:firstLine="480" w:firstLineChars="200"/>
        <w:jc w:val="left"/>
        <w:rPr>
          <w:rFonts w:ascii="宋体" w:hAnsi="宋体" w:cs="宋体"/>
          <w:sz w:val="24"/>
        </w:rPr>
      </w:pPr>
      <w:r>
        <w:rPr>
          <w:rFonts w:hint="eastAsia" w:ascii="宋体" w:hAnsi="宋体" w:cs="宋体"/>
          <w:sz w:val="24"/>
        </w:rPr>
        <w:t>②响应文件载明的竞价项目完成期限超过竞价文件规定的；</w:t>
      </w:r>
    </w:p>
    <w:p>
      <w:pPr>
        <w:widowControl/>
        <w:spacing w:line="460" w:lineRule="exact"/>
        <w:ind w:firstLine="480" w:firstLineChars="200"/>
        <w:jc w:val="left"/>
        <w:rPr>
          <w:rFonts w:ascii="宋体" w:hAnsi="宋体" w:cs="宋体"/>
          <w:sz w:val="24"/>
        </w:rPr>
      </w:pPr>
      <w:r>
        <w:rPr>
          <w:rFonts w:hint="eastAsia" w:ascii="宋体" w:hAnsi="宋体" w:cs="宋体"/>
          <w:sz w:val="24"/>
        </w:rPr>
        <w:t>③明显不符合技术规格、技术标准的要求；</w:t>
      </w:r>
    </w:p>
    <w:p>
      <w:pPr>
        <w:widowControl/>
        <w:spacing w:line="460" w:lineRule="exact"/>
        <w:ind w:firstLine="480" w:firstLineChars="200"/>
        <w:jc w:val="left"/>
        <w:rPr>
          <w:rFonts w:ascii="宋体" w:hAnsi="宋体" w:cs="宋体"/>
          <w:sz w:val="24"/>
        </w:rPr>
      </w:pPr>
      <w:r>
        <w:rPr>
          <w:rFonts w:hint="eastAsia" w:ascii="宋体" w:hAnsi="宋体" w:cs="宋体"/>
          <w:sz w:val="24"/>
        </w:rPr>
        <w:t>④响应文件载明的货物包装方式、检验标准和方法等不符合竞价文件的要求；</w:t>
      </w:r>
    </w:p>
    <w:p>
      <w:pPr>
        <w:widowControl/>
        <w:spacing w:line="460" w:lineRule="exact"/>
        <w:ind w:firstLine="480" w:firstLineChars="200"/>
        <w:jc w:val="left"/>
        <w:rPr>
          <w:rFonts w:ascii="宋体" w:hAnsi="宋体" w:cs="宋体"/>
          <w:sz w:val="24"/>
        </w:rPr>
      </w:pPr>
      <w:r>
        <w:rPr>
          <w:rFonts w:hint="eastAsia" w:ascii="宋体" w:hAnsi="宋体" w:cs="宋体"/>
          <w:sz w:val="24"/>
        </w:rPr>
        <w:t>⑤竞价人在竞价平台提交的报价明显低于成本价（提供书面说明不合理的）或存在恶意竞争情形的；</w:t>
      </w:r>
    </w:p>
    <w:p>
      <w:pPr>
        <w:widowControl/>
        <w:spacing w:line="460" w:lineRule="exact"/>
        <w:ind w:firstLine="480" w:firstLineChars="200"/>
        <w:jc w:val="left"/>
        <w:rPr>
          <w:rFonts w:ascii="宋体" w:hAnsi="宋体" w:cs="宋体"/>
          <w:sz w:val="24"/>
        </w:rPr>
      </w:pPr>
      <w:r>
        <w:rPr>
          <w:rFonts w:hint="eastAsia" w:ascii="宋体" w:hAnsi="宋体" w:cs="宋体"/>
          <w:sz w:val="24"/>
        </w:rPr>
        <w:t>⑥响应文件附有采购人不能接受的条件；</w:t>
      </w:r>
    </w:p>
    <w:p>
      <w:pPr>
        <w:widowControl/>
        <w:spacing w:line="460" w:lineRule="exact"/>
        <w:ind w:firstLine="480" w:firstLineChars="200"/>
        <w:jc w:val="left"/>
        <w:rPr>
          <w:rFonts w:ascii="宋体" w:hAnsi="宋体" w:cs="宋体"/>
          <w:sz w:val="24"/>
        </w:rPr>
      </w:pPr>
      <w:r>
        <w:rPr>
          <w:rFonts w:hint="eastAsia" w:ascii="宋体" w:hAnsi="宋体" w:cs="宋体"/>
          <w:sz w:val="24"/>
        </w:rPr>
        <w:t>⑦不符合竞价文件中规定的其他实质性要求。</w:t>
      </w:r>
    </w:p>
    <w:p>
      <w:pPr>
        <w:widowControl/>
        <w:spacing w:line="460" w:lineRule="exact"/>
        <w:ind w:firstLine="480" w:firstLineChars="200"/>
        <w:jc w:val="left"/>
        <w:rPr>
          <w:rFonts w:ascii="宋体" w:hAnsi="宋体" w:cs="宋体"/>
          <w:sz w:val="24"/>
        </w:rPr>
      </w:pPr>
      <w:r>
        <w:rPr>
          <w:rFonts w:hint="eastAsia" w:ascii="宋体" w:hAnsi="宋体" w:cs="宋体"/>
          <w:sz w:val="24"/>
        </w:rPr>
        <w:t>响应文件有上述情形之一的，认定为未对竞价文件作出实质性响应，</w:t>
      </w:r>
      <w:r>
        <w:rPr>
          <w:rFonts w:hint="eastAsia" w:ascii="宋体" w:hAnsi="宋体" w:cs="宋体"/>
          <w:b/>
          <w:bCs/>
          <w:sz w:val="24"/>
        </w:rPr>
        <w:t>作无效报价处理</w:t>
      </w:r>
      <w:r>
        <w:rPr>
          <w:rFonts w:hint="eastAsia" w:ascii="宋体" w:hAnsi="宋体" w:cs="宋体"/>
          <w:sz w:val="24"/>
        </w:rPr>
        <w:t>。</w:t>
      </w:r>
    </w:p>
    <w:p>
      <w:pPr>
        <w:widowControl/>
        <w:spacing w:line="460" w:lineRule="exact"/>
        <w:ind w:firstLine="480" w:firstLineChars="200"/>
        <w:jc w:val="left"/>
        <w:rPr>
          <w:rFonts w:ascii="宋体" w:hAnsi="宋体" w:cs="宋体"/>
          <w:sz w:val="24"/>
        </w:rPr>
      </w:pPr>
      <w:r>
        <w:rPr>
          <w:rFonts w:hint="eastAsia" w:ascii="宋体" w:hAnsi="宋体"/>
          <w:sz w:val="24"/>
        </w:rPr>
        <w:t>（2）</w:t>
      </w:r>
      <w:r>
        <w:rPr>
          <w:rFonts w:hint="eastAsia" w:ascii="宋体" w:hAnsi="宋体" w:cs="宋体"/>
          <w:sz w:val="24"/>
        </w:rPr>
        <w:t>细微偏差。响应文件在实质上响应竞价文件要求，但在个别地方存在漏项或者提供了不完整的技术信息和数据等情况，并且补正这些遗漏或者不完整不会对其他竞价人造成不公平的结果。细微偏差不影响响应文件的有效性。</w:t>
      </w:r>
    </w:p>
    <w:p>
      <w:pPr>
        <w:widowControl/>
        <w:spacing w:line="460" w:lineRule="exact"/>
        <w:ind w:firstLine="480" w:firstLineChars="200"/>
        <w:jc w:val="left"/>
        <w:rPr>
          <w:rFonts w:ascii="宋体" w:hAnsi="宋体" w:cs="宋体"/>
          <w:sz w:val="24"/>
        </w:rPr>
      </w:pPr>
      <w:r>
        <w:rPr>
          <w:rFonts w:hint="eastAsia" w:ascii="宋体" w:hAnsi="宋体" w:cs="宋体"/>
          <w:sz w:val="24"/>
        </w:rPr>
        <w:t>对存在细微偏差的竞价人要求在报名结束前予以补正。补正的程序和方法按照法律法规对澄清的规定执行。无法补正的，可在审核时对细微偏差作不利于该竞价人的认定。3个以上（含3个）的累积细微偏差视为技术商务不合格，该竞价人报名审核将不通过。</w:t>
      </w:r>
    </w:p>
    <w:p>
      <w:pPr>
        <w:pStyle w:val="14"/>
        <w:spacing w:line="460" w:lineRule="exact"/>
        <w:ind w:firstLine="480" w:firstLineChars="200"/>
        <w:rPr>
          <w:rFonts w:ascii="宋体" w:hAnsi="宋体" w:cs="宋体"/>
          <w:sz w:val="24"/>
          <w:szCs w:val="24"/>
        </w:rPr>
      </w:pPr>
      <w:r>
        <w:rPr>
          <w:rFonts w:hint="eastAsia" w:ascii="宋体" w:hAnsi="宋体" w:cs="宋体"/>
          <w:sz w:val="24"/>
          <w:szCs w:val="24"/>
        </w:rPr>
        <w:t>（3）若成交人的响应文件描述存在前后不一致或响应内容与证明材料不一致或多份证明材料之间不一致或存在其他未响应本竞价文件的情形的，但在报名审核中未能发现，采购人将有权以响应文件描述或证明材料中有利于采购人的内容进行验收或直接取消其成交资格，成交人应自行承担由此产生的风险及费用。</w:t>
      </w:r>
    </w:p>
    <w:p>
      <w:pPr>
        <w:widowControl/>
        <w:spacing w:line="460" w:lineRule="exact"/>
        <w:ind w:firstLine="480" w:firstLineChars="200"/>
        <w:jc w:val="left"/>
        <w:rPr>
          <w:sz w:val="24"/>
        </w:rPr>
      </w:pPr>
      <w:r>
        <w:rPr>
          <w:rFonts w:hint="eastAsia" w:ascii="宋体" w:hAnsi="宋体" w:cs="宋体"/>
          <w:sz w:val="24"/>
        </w:rPr>
        <w:t>17.</w:t>
      </w:r>
      <w:r>
        <w:rPr>
          <w:rFonts w:hint="eastAsia"/>
          <w:sz w:val="24"/>
        </w:rPr>
        <w:t>如果竞价人发生以下任何一种情况时，其竞价保证金将被不予退还：</w:t>
      </w:r>
    </w:p>
    <w:p>
      <w:pPr>
        <w:pStyle w:val="17"/>
        <w:spacing w:before="0" w:beforeAutospacing="0" w:after="0" w:afterAutospacing="0" w:line="460" w:lineRule="exact"/>
        <w:ind w:firstLine="480" w:firstLineChars="200"/>
        <w:rPr>
          <w:kern w:val="2"/>
        </w:rPr>
      </w:pPr>
      <w:r>
        <w:rPr>
          <w:rFonts w:hint="eastAsia"/>
          <w:kern w:val="2"/>
        </w:rPr>
        <w:t>（1）竞价人在证明材料文件中提供虚假材料的；</w:t>
      </w:r>
    </w:p>
    <w:p>
      <w:pPr>
        <w:pStyle w:val="17"/>
        <w:spacing w:before="0" w:beforeAutospacing="0" w:after="0" w:afterAutospacing="0" w:line="460" w:lineRule="exact"/>
        <w:ind w:firstLine="480" w:firstLineChars="200"/>
        <w:rPr>
          <w:kern w:val="2"/>
        </w:rPr>
      </w:pPr>
      <w:r>
        <w:rPr>
          <w:rFonts w:hint="eastAsia"/>
          <w:kern w:val="2"/>
        </w:rPr>
        <w:t>（2）除因不可抗力或竞价文件认可的情形以外，成交人不与采购人签订合同或不能履约的；</w:t>
      </w:r>
    </w:p>
    <w:p>
      <w:pPr>
        <w:pStyle w:val="17"/>
        <w:spacing w:before="0" w:beforeAutospacing="0" w:after="0" w:afterAutospacing="0" w:line="460" w:lineRule="exact"/>
        <w:ind w:firstLine="480" w:firstLineChars="200"/>
        <w:rPr>
          <w:kern w:val="2"/>
        </w:rPr>
      </w:pPr>
      <w:r>
        <w:rPr>
          <w:rFonts w:hint="eastAsia"/>
          <w:kern w:val="2"/>
        </w:rPr>
        <w:t>（3）成交人自动放弃成交资格的；</w:t>
      </w:r>
    </w:p>
    <w:p>
      <w:pPr>
        <w:pStyle w:val="17"/>
        <w:spacing w:before="0" w:beforeAutospacing="0" w:after="0" w:afterAutospacing="0" w:line="460" w:lineRule="exact"/>
        <w:ind w:firstLine="480" w:firstLineChars="200"/>
        <w:rPr>
          <w:kern w:val="2"/>
        </w:rPr>
      </w:pPr>
      <w:r>
        <w:rPr>
          <w:rFonts w:hint="eastAsia"/>
          <w:kern w:val="2"/>
        </w:rPr>
        <w:t>（4）竞价人假借以他人名义参加报价或者以其他方式弄虚作假，骗取成交；</w:t>
      </w:r>
    </w:p>
    <w:p>
      <w:pPr>
        <w:pStyle w:val="17"/>
        <w:spacing w:before="0" w:beforeAutospacing="0" w:after="0" w:afterAutospacing="0" w:line="460" w:lineRule="exact"/>
        <w:ind w:firstLine="480" w:firstLineChars="200"/>
        <w:rPr>
          <w:kern w:val="2"/>
        </w:rPr>
      </w:pPr>
      <w:r>
        <w:rPr>
          <w:rFonts w:hint="eastAsia"/>
          <w:kern w:val="2"/>
        </w:rPr>
        <w:t>（5）国家法律法规以及竞价文件中规定的其他竞价保证金不予退还的情形。</w:t>
      </w:r>
    </w:p>
    <w:p>
      <w:pPr>
        <w:spacing w:line="460" w:lineRule="exact"/>
        <w:ind w:firstLine="480" w:firstLineChars="200"/>
        <w:rPr>
          <w:rFonts w:ascii="宋体" w:hAnsi="宋体" w:cs="宋体"/>
          <w:sz w:val="24"/>
        </w:rPr>
      </w:pPr>
      <w:r>
        <w:rPr>
          <w:rFonts w:hint="eastAsia" w:ascii="宋体" w:hAnsi="宋体" w:cs="宋体"/>
          <w:sz w:val="24"/>
        </w:rPr>
        <w:t>上述不予退还竞价保证金的情况不能抵偿给采购人或采购代理机构造成损失的，竞价人还要承担赔偿责任。</w:t>
      </w:r>
    </w:p>
    <w:p>
      <w:pPr>
        <w:widowControl/>
        <w:numPr>
          <w:ilvl w:val="255"/>
          <w:numId w:val="0"/>
        </w:numPr>
        <w:spacing w:line="460" w:lineRule="exact"/>
        <w:ind w:firstLine="482" w:firstLineChars="200"/>
        <w:jc w:val="left"/>
        <w:textAlignment w:val="baseline"/>
        <w:rPr>
          <w:rStyle w:val="26"/>
          <w:rFonts w:ascii="宋体" w:hAnsi="宋体" w:cs="宋体"/>
          <w:b/>
          <w:bCs/>
          <w:sz w:val="24"/>
        </w:rPr>
      </w:pPr>
      <w:r>
        <w:rPr>
          <w:rStyle w:val="26"/>
          <w:rFonts w:hint="eastAsia" w:ascii="宋体" w:hAnsi="宋体" w:cs="宋体"/>
          <w:b/>
          <w:bCs/>
          <w:sz w:val="24"/>
        </w:rPr>
        <w:t>18.其他：</w:t>
      </w:r>
    </w:p>
    <w:p>
      <w:pPr>
        <w:widowControl/>
        <w:numPr>
          <w:ilvl w:val="255"/>
          <w:numId w:val="0"/>
        </w:numPr>
        <w:spacing w:line="460" w:lineRule="exact"/>
        <w:ind w:firstLine="482" w:firstLineChars="200"/>
        <w:jc w:val="left"/>
        <w:textAlignment w:val="baseline"/>
        <w:rPr>
          <w:rStyle w:val="26"/>
        </w:rPr>
      </w:pPr>
      <w:r>
        <w:rPr>
          <w:rStyle w:val="26"/>
          <w:rFonts w:hint="eastAsia" w:ascii="宋体" w:hAnsi="宋体" w:cs="宋体"/>
          <w:b/>
          <w:bCs/>
          <w:sz w:val="24"/>
        </w:rPr>
        <w:t>成交公告发布后成交人须提供纸质响应文件，其他竞价人无需提供。纸质响应文件份数：1套正本，2套副本，副本可以是正本的完整复印件，纸质响应文件均须逐页加盖公章且装订成册。</w:t>
      </w:r>
    </w:p>
    <w:p>
      <w:pPr>
        <w:widowControl/>
        <w:rPr>
          <w:rFonts w:ascii="宋体" w:hAnsi="宋体" w:cs="宋体"/>
          <w:b/>
          <w:kern w:val="0"/>
          <w:sz w:val="32"/>
          <w:szCs w:val="32"/>
          <w:highlight w:val="yellow"/>
        </w:rPr>
      </w:pPr>
    </w:p>
    <w:p>
      <w:pPr>
        <w:pStyle w:val="25"/>
        <w:rPr>
          <w:rFonts w:ascii="宋体" w:hAnsi="宋体"/>
          <w:b/>
          <w:bCs/>
          <w:sz w:val="30"/>
          <w:szCs w:val="30"/>
          <w:highlight w:val="yellow"/>
        </w:rPr>
      </w:pP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p>
      <w:pPr>
        <w:pStyle w:val="25"/>
        <w:rPr>
          <w:rFonts w:ascii="宋体" w:hAnsi="宋体"/>
          <w:b/>
          <w:bCs/>
          <w:sz w:val="30"/>
          <w:szCs w:val="30"/>
        </w:rPr>
      </w:pPr>
    </w:p>
    <w:p>
      <w:pPr>
        <w:widowControl/>
        <w:spacing w:line="500" w:lineRule="exact"/>
        <w:jc w:val="center"/>
        <w:outlineLvl w:val="0"/>
        <w:rPr>
          <w:rFonts w:ascii="宋体" w:hAnsi="宋体" w:cs="宋体"/>
          <w:b/>
          <w:kern w:val="0"/>
          <w:sz w:val="32"/>
          <w:szCs w:val="32"/>
        </w:rPr>
      </w:pPr>
      <w:bookmarkStart w:id="2" w:name="_Toc22138"/>
      <w:bookmarkStart w:id="3" w:name="_Toc15388"/>
      <w:r>
        <w:rPr>
          <w:rFonts w:hint="eastAsia" w:ascii="宋体" w:hAnsi="宋体" w:cs="宋体"/>
          <w:b/>
          <w:kern w:val="0"/>
          <w:sz w:val="32"/>
          <w:szCs w:val="32"/>
        </w:rPr>
        <w:t>第二章 网上竞价内容及要求</w:t>
      </w:r>
      <w:bookmarkEnd w:id="2"/>
      <w:bookmarkEnd w:id="3"/>
    </w:p>
    <w:p>
      <w:pPr>
        <w:snapToGrid w:val="0"/>
        <w:spacing w:line="500" w:lineRule="exact"/>
        <w:ind w:right="168" w:rightChars="80"/>
        <w:outlineLvl w:val="1"/>
        <w:rPr>
          <w:rFonts w:ascii="宋体" w:hAnsi="宋体" w:cs="宋体"/>
          <w:b/>
          <w:sz w:val="24"/>
        </w:rPr>
      </w:pPr>
      <w:bookmarkStart w:id="4" w:name="_Toc358016816"/>
      <w:bookmarkStart w:id="5" w:name="_Toc359317661"/>
      <w:bookmarkStart w:id="6" w:name="_Toc327948617"/>
      <w:bookmarkStart w:id="7" w:name="_Toc346300367"/>
      <w:bookmarkStart w:id="8" w:name="_Toc330567034"/>
      <w:bookmarkStart w:id="9" w:name="_Toc347060296"/>
      <w:r>
        <w:rPr>
          <w:rFonts w:hint="eastAsia" w:ascii="宋体" w:hAnsi="宋体" w:cs="宋体"/>
          <w:b/>
          <w:sz w:val="24"/>
        </w:rPr>
        <w:t>一、项目概述</w:t>
      </w:r>
      <w:bookmarkEnd w:id="4"/>
      <w:bookmarkEnd w:id="5"/>
    </w:p>
    <w:p>
      <w:pPr>
        <w:pStyle w:val="27"/>
        <w:spacing w:line="500" w:lineRule="exact"/>
        <w:rPr>
          <w:rFonts w:ascii="宋体" w:hAnsi="宋体"/>
          <w:sz w:val="24"/>
        </w:rPr>
      </w:pPr>
      <w:r>
        <w:rPr>
          <w:rFonts w:hint="eastAsia" w:ascii="宋体" w:hAnsi="宋体"/>
          <w:sz w:val="24"/>
        </w:rPr>
        <w:t>1.采购标的一览表</w:t>
      </w:r>
    </w:p>
    <w:p>
      <w:pPr>
        <w:pStyle w:val="27"/>
        <w:spacing w:line="500" w:lineRule="exact"/>
        <w:ind w:firstLine="6240" w:firstLineChars="2600"/>
        <w:rPr>
          <w:rFonts w:ascii="宋体" w:hAnsi="宋体"/>
          <w:sz w:val="24"/>
        </w:rPr>
      </w:pPr>
      <w:r>
        <w:rPr>
          <w:rFonts w:hint="eastAsia" w:ascii="宋体" w:hAnsi="宋体"/>
          <w:sz w:val="24"/>
        </w:rPr>
        <w:t>金额单位：人民币元</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964"/>
        <w:gridCol w:w="2611"/>
        <w:gridCol w:w="1364"/>
        <w:gridCol w:w="676"/>
        <w:gridCol w:w="1068"/>
        <w:gridCol w:w="125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08" w:type="pct"/>
            <w:vAlign w:val="center"/>
          </w:tcPr>
          <w:p>
            <w:pPr>
              <w:pStyle w:val="11"/>
              <w:snapToGrid w:val="0"/>
              <w:spacing w:line="500" w:lineRule="exact"/>
              <w:ind w:left="-105" w:leftChars="-50" w:right="-105" w:rightChars="-50"/>
              <w:jc w:val="center"/>
              <w:rPr>
                <w:rFonts w:hAnsi="宋体"/>
                <w:sz w:val="24"/>
              </w:rPr>
            </w:pPr>
            <w:r>
              <w:rPr>
                <w:rFonts w:hint="eastAsia" w:hAnsi="宋体"/>
                <w:b/>
                <w:sz w:val="24"/>
              </w:rPr>
              <w:t>合同包</w:t>
            </w:r>
          </w:p>
        </w:tc>
        <w:tc>
          <w:tcPr>
            <w:tcW w:w="485" w:type="pct"/>
            <w:vAlign w:val="center"/>
          </w:tcPr>
          <w:p>
            <w:pPr>
              <w:pStyle w:val="11"/>
              <w:snapToGrid w:val="0"/>
              <w:spacing w:line="500" w:lineRule="exact"/>
              <w:ind w:left="-105" w:leftChars="-50" w:right="-105" w:rightChars="-50"/>
              <w:jc w:val="center"/>
              <w:rPr>
                <w:rFonts w:hAnsi="宋体"/>
                <w:sz w:val="24"/>
              </w:rPr>
            </w:pPr>
            <w:r>
              <w:rPr>
                <w:rFonts w:hint="eastAsia" w:hAnsi="宋体" w:cs="宋体"/>
                <w:b/>
                <w:bCs/>
                <w:sz w:val="24"/>
              </w:rPr>
              <w:t>品目号</w:t>
            </w:r>
          </w:p>
        </w:tc>
        <w:tc>
          <w:tcPr>
            <w:tcW w:w="1313" w:type="pct"/>
            <w:vAlign w:val="center"/>
          </w:tcPr>
          <w:p>
            <w:pPr>
              <w:pStyle w:val="11"/>
              <w:snapToGrid w:val="0"/>
              <w:spacing w:line="500" w:lineRule="exact"/>
              <w:ind w:left="-105" w:leftChars="-50" w:right="-105" w:rightChars="-50"/>
              <w:jc w:val="center"/>
              <w:rPr>
                <w:rFonts w:hAnsi="宋体"/>
                <w:sz w:val="24"/>
              </w:rPr>
            </w:pPr>
            <w:r>
              <w:rPr>
                <w:rFonts w:hint="eastAsia" w:hAnsi="宋体" w:cs="宋体"/>
                <w:b/>
                <w:bCs/>
                <w:sz w:val="24"/>
              </w:rPr>
              <w:t>采购标的</w:t>
            </w:r>
          </w:p>
        </w:tc>
        <w:tc>
          <w:tcPr>
            <w:tcW w:w="686" w:type="pct"/>
            <w:vAlign w:val="center"/>
          </w:tcPr>
          <w:p>
            <w:pPr>
              <w:pStyle w:val="11"/>
              <w:snapToGrid w:val="0"/>
              <w:spacing w:line="500" w:lineRule="exact"/>
              <w:ind w:left="-105" w:leftChars="-50" w:right="-105" w:rightChars="-50"/>
              <w:jc w:val="center"/>
              <w:rPr>
                <w:rFonts w:hAnsi="宋体"/>
                <w:sz w:val="24"/>
              </w:rPr>
            </w:pPr>
            <w:r>
              <w:rPr>
                <w:rFonts w:hint="eastAsia" w:hAnsi="宋体" w:cs="宋体"/>
                <w:b/>
                <w:bCs/>
                <w:sz w:val="24"/>
              </w:rPr>
              <w:t>数量</w:t>
            </w:r>
          </w:p>
        </w:tc>
        <w:tc>
          <w:tcPr>
            <w:tcW w:w="340" w:type="pct"/>
            <w:vAlign w:val="center"/>
          </w:tcPr>
          <w:p>
            <w:pPr>
              <w:pStyle w:val="11"/>
              <w:snapToGrid w:val="0"/>
              <w:spacing w:line="500" w:lineRule="exact"/>
              <w:ind w:left="-105" w:leftChars="-50" w:right="-105" w:rightChars="-50"/>
              <w:jc w:val="center"/>
              <w:rPr>
                <w:rFonts w:hAnsi="宋体"/>
                <w:b/>
                <w:sz w:val="24"/>
              </w:rPr>
            </w:pPr>
            <w:r>
              <w:rPr>
                <w:rFonts w:hint="eastAsia" w:hAnsi="宋体"/>
                <w:b/>
                <w:sz w:val="24"/>
              </w:rPr>
              <w:t>是否进口</w:t>
            </w:r>
          </w:p>
        </w:tc>
        <w:tc>
          <w:tcPr>
            <w:tcW w:w="537" w:type="pct"/>
            <w:vAlign w:val="center"/>
          </w:tcPr>
          <w:p>
            <w:pPr>
              <w:pStyle w:val="11"/>
              <w:snapToGrid w:val="0"/>
              <w:spacing w:line="500" w:lineRule="exact"/>
              <w:ind w:left="-105" w:leftChars="-50" w:right="-105" w:rightChars="-50"/>
              <w:jc w:val="center"/>
              <w:rPr>
                <w:rFonts w:hAnsi="宋体"/>
                <w:b/>
                <w:sz w:val="24"/>
              </w:rPr>
            </w:pPr>
            <w:r>
              <w:rPr>
                <w:rFonts w:hint="eastAsia" w:hAnsi="宋体"/>
                <w:b/>
                <w:sz w:val="24"/>
              </w:rPr>
              <w:t>品目号</w:t>
            </w:r>
          </w:p>
          <w:p>
            <w:pPr>
              <w:pStyle w:val="11"/>
              <w:snapToGrid w:val="0"/>
              <w:spacing w:line="500" w:lineRule="exact"/>
              <w:ind w:left="-105" w:leftChars="-50" w:right="-105" w:rightChars="-50"/>
              <w:jc w:val="center"/>
              <w:rPr>
                <w:rFonts w:hAnsi="宋体"/>
                <w:b/>
                <w:sz w:val="24"/>
              </w:rPr>
            </w:pPr>
            <w:r>
              <w:rPr>
                <w:rFonts w:hint="eastAsia" w:hAnsi="宋体"/>
                <w:b/>
                <w:sz w:val="24"/>
              </w:rPr>
              <w:t>预算</w:t>
            </w:r>
          </w:p>
        </w:tc>
        <w:tc>
          <w:tcPr>
            <w:tcW w:w="629" w:type="pct"/>
            <w:vAlign w:val="center"/>
          </w:tcPr>
          <w:p>
            <w:pPr>
              <w:pStyle w:val="11"/>
              <w:snapToGrid w:val="0"/>
              <w:spacing w:line="500" w:lineRule="exact"/>
              <w:ind w:left="-105" w:leftChars="-50" w:right="-105" w:rightChars="-50"/>
              <w:jc w:val="center"/>
              <w:rPr>
                <w:rFonts w:hAnsi="宋体"/>
                <w:b/>
                <w:sz w:val="24"/>
              </w:rPr>
            </w:pPr>
            <w:r>
              <w:rPr>
                <w:rFonts w:hint="eastAsia" w:hAnsi="宋体"/>
                <w:b/>
                <w:sz w:val="24"/>
              </w:rPr>
              <w:t>合同包</w:t>
            </w:r>
          </w:p>
          <w:p>
            <w:pPr>
              <w:pStyle w:val="11"/>
              <w:snapToGrid w:val="0"/>
              <w:spacing w:line="500" w:lineRule="exact"/>
              <w:ind w:left="-105" w:leftChars="-50" w:right="-105" w:rightChars="-50"/>
              <w:jc w:val="center"/>
              <w:rPr>
                <w:rFonts w:hAnsi="宋体"/>
                <w:b/>
                <w:sz w:val="24"/>
              </w:rPr>
            </w:pPr>
            <w:r>
              <w:rPr>
                <w:rFonts w:hint="eastAsia" w:hAnsi="宋体"/>
                <w:b/>
                <w:sz w:val="24"/>
              </w:rPr>
              <w:t>最高限价</w:t>
            </w:r>
          </w:p>
        </w:tc>
        <w:tc>
          <w:tcPr>
            <w:tcW w:w="498" w:type="pct"/>
            <w:vAlign w:val="center"/>
          </w:tcPr>
          <w:p>
            <w:pPr>
              <w:pStyle w:val="11"/>
              <w:snapToGrid w:val="0"/>
              <w:spacing w:line="500" w:lineRule="exact"/>
              <w:ind w:left="-105" w:leftChars="-50" w:right="-105" w:rightChars="-50"/>
              <w:jc w:val="center"/>
              <w:rPr>
                <w:rFonts w:hAnsi="宋体"/>
                <w:b/>
                <w:sz w:val="24"/>
              </w:rPr>
            </w:pPr>
            <w:r>
              <w:rPr>
                <w:rFonts w:hint="eastAsia" w:hAnsi="宋体"/>
                <w:b/>
                <w:sz w:val="24"/>
              </w:rPr>
              <w:t>竞价</w:t>
            </w:r>
          </w:p>
          <w:p>
            <w:pPr>
              <w:pStyle w:val="11"/>
              <w:snapToGrid w:val="0"/>
              <w:spacing w:line="500" w:lineRule="exact"/>
              <w:ind w:left="-105" w:leftChars="-50" w:right="-105" w:rightChars="-50"/>
              <w:jc w:val="center"/>
              <w:rPr>
                <w:rFonts w:hAnsi="宋体"/>
                <w:sz w:val="24"/>
              </w:rPr>
            </w:pPr>
            <w:r>
              <w:rPr>
                <w:rFonts w:hint="eastAsia" w:hAnsi="宋体"/>
                <w:b/>
                <w:sz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08" w:type="pct"/>
            <w:vAlign w:val="center"/>
          </w:tcPr>
          <w:p>
            <w:pPr>
              <w:pStyle w:val="27"/>
              <w:spacing w:line="500" w:lineRule="exact"/>
              <w:jc w:val="center"/>
              <w:rPr>
                <w:rFonts w:ascii="宋体" w:hAnsi="宋体"/>
                <w:sz w:val="24"/>
              </w:rPr>
            </w:pPr>
            <w:r>
              <w:rPr>
                <w:rFonts w:hint="eastAsia" w:ascii="宋体" w:hAnsi="宋体"/>
                <w:sz w:val="24"/>
              </w:rPr>
              <w:t>1</w:t>
            </w:r>
          </w:p>
        </w:tc>
        <w:tc>
          <w:tcPr>
            <w:tcW w:w="485" w:type="pct"/>
            <w:vAlign w:val="center"/>
          </w:tcPr>
          <w:p>
            <w:pPr>
              <w:pStyle w:val="27"/>
              <w:spacing w:line="500" w:lineRule="exact"/>
              <w:jc w:val="center"/>
              <w:rPr>
                <w:rFonts w:ascii="宋体" w:hAnsi="宋体"/>
                <w:sz w:val="24"/>
              </w:rPr>
            </w:pPr>
            <w:r>
              <w:rPr>
                <w:rFonts w:hint="eastAsia" w:ascii="宋体" w:hAnsi="宋体"/>
                <w:sz w:val="24"/>
              </w:rPr>
              <w:t>1-1</w:t>
            </w:r>
          </w:p>
        </w:tc>
        <w:tc>
          <w:tcPr>
            <w:tcW w:w="1313" w:type="pct"/>
            <w:vAlign w:val="center"/>
          </w:tcPr>
          <w:p>
            <w:pPr>
              <w:autoSpaceDN w:val="0"/>
              <w:spacing w:line="500" w:lineRule="exact"/>
              <w:jc w:val="center"/>
              <w:textAlignment w:val="center"/>
              <w:rPr>
                <w:rFonts w:ascii="宋体" w:hAnsi="宋体"/>
                <w:sz w:val="24"/>
              </w:rPr>
            </w:pPr>
            <w:r>
              <w:rPr>
                <w:rFonts w:hint="eastAsia" w:ascii="宋体" w:hAnsi="宋体"/>
                <w:sz w:val="24"/>
              </w:rPr>
              <w:t>福建农林大学安溪茶学院拼接处理系统采购项目</w:t>
            </w:r>
          </w:p>
        </w:tc>
        <w:tc>
          <w:tcPr>
            <w:tcW w:w="686" w:type="pct"/>
            <w:vAlign w:val="center"/>
          </w:tcPr>
          <w:p>
            <w:pPr>
              <w:autoSpaceDN w:val="0"/>
              <w:spacing w:line="500" w:lineRule="exact"/>
              <w:jc w:val="center"/>
              <w:textAlignment w:val="center"/>
              <w:rPr>
                <w:rFonts w:ascii="宋体" w:hAnsi="宋体"/>
                <w:sz w:val="24"/>
              </w:rPr>
            </w:pPr>
            <w:r>
              <w:rPr>
                <w:rFonts w:hint="eastAsia" w:ascii="宋体" w:hAnsi="宋体"/>
                <w:sz w:val="24"/>
              </w:rPr>
              <w:t>1批</w:t>
            </w:r>
          </w:p>
        </w:tc>
        <w:tc>
          <w:tcPr>
            <w:tcW w:w="340" w:type="pct"/>
            <w:vAlign w:val="center"/>
          </w:tcPr>
          <w:p>
            <w:pPr>
              <w:spacing w:line="500" w:lineRule="exact"/>
              <w:jc w:val="center"/>
              <w:rPr>
                <w:rFonts w:ascii="宋体" w:hAnsi="宋体"/>
                <w:sz w:val="24"/>
              </w:rPr>
            </w:pPr>
            <w:r>
              <w:rPr>
                <w:rFonts w:hint="eastAsia" w:ascii="宋体" w:hAnsi="宋体"/>
                <w:sz w:val="24"/>
              </w:rPr>
              <w:t>否</w:t>
            </w:r>
          </w:p>
        </w:tc>
        <w:tc>
          <w:tcPr>
            <w:tcW w:w="537" w:type="pct"/>
            <w:vAlign w:val="center"/>
          </w:tcPr>
          <w:p>
            <w:pPr>
              <w:pStyle w:val="27"/>
              <w:spacing w:line="500" w:lineRule="exact"/>
              <w:jc w:val="center"/>
              <w:rPr>
                <w:rFonts w:ascii="宋体" w:hAnsi="宋体"/>
                <w:sz w:val="24"/>
              </w:rPr>
            </w:pPr>
            <w:r>
              <w:rPr>
                <w:rFonts w:ascii="宋体" w:hAnsi="宋体"/>
                <w:sz w:val="24"/>
              </w:rPr>
              <w:t>116300</w:t>
            </w:r>
          </w:p>
        </w:tc>
        <w:tc>
          <w:tcPr>
            <w:tcW w:w="629" w:type="pct"/>
            <w:vAlign w:val="center"/>
          </w:tcPr>
          <w:p>
            <w:pPr>
              <w:pStyle w:val="27"/>
              <w:spacing w:line="500" w:lineRule="exact"/>
              <w:jc w:val="center"/>
              <w:rPr>
                <w:rFonts w:ascii="宋体" w:hAnsi="宋体"/>
                <w:sz w:val="24"/>
              </w:rPr>
            </w:pPr>
            <w:r>
              <w:rPr>
                <w:rFonts w:ascii="宋体" w:hAnsi="宋体"/>
                <w:sz w:val="24"/>
              </w:rPr>
              <w:t>116300</w:t>
            </w:r>
          </w:p>
        </w:tc>
        <w:tc>
          <w:tcPr>
            <w:tcW w:w="498" w:type="pct"/>
            <w:vAlign w:val="center"/>
          </w:tcPr>
          <w:p>
            <w:pPr>
              <w:pStyle w:val="27"/>
              <w:spacing w:line="500" w:lineRule="exact"/>
              <w:jc w:val="center"/>
              <w:rPr>
                <w:rFonts w:ascii="宋体" w:hAnsi="宋体"/>
                <w:sz w:val="24"/>
              </w:rPr>
            </w:pPr>
            <w:r>
              <w:rPr>
                <w:rFonts w:hint="eastAsia" w:ascii="宋体" w:hAnsi="宋体"/>
                <w:sz w:val="24"/>
              </w:rPr>
              <w:t>1000</w:t>
            </w:r>
          </w:p>
        </w:tc>
      </w:tr>
    </w:tbl>
    <w:p>
      <w:pPr>
        <w:pStyle w:val="17"/>
        <w:spacing w:before="0" w:beforeAutospacing="0" w:after="0" w:afterAutospacing="0" w:line="500" w:lineRule="exact"/>
        <w:ind w:firstLine="480" w:firstLineChars="200"/>
      </w:pPr>
      <w:r>
        <w:rPr>
          <w:rFonts w:hint="eastAsia" w:cs="Times New Roman"/>
          <w:kern w:val="2"/>
        </w:rPr>
        <w:t>2.</w:t>
      </w:r>
      <w:r>
        <w:rPr>
          <w:rFonts w:hint="eastAsia"/>
        </w:rPr>
        <w:t>其他：</w:t>
      </w:r>
    </w:p>
    <w:p>
      <w:pPr>
        <w:pStyle w:val="17"/>
        <w:shd w:val="clear" w:color="auto" w:fill="FFFFFF"/>
        <w:spacing w:before="0" w:beforeAutospacing="0" w:after="0" w:afterAutospacing="0" w:line="500" w:lineRule="exact"/>
        <w:ind w:firstLine="482" w:firstLineChars="200"/>
        <w:rPr>
          <w:b/>
          <w:bCs/>
        </w:rPr>
      </w:pPr>
      <w:r>
        <w:rPr>
          <w:rStyle w:val="21"/>
          <w:rFonts w:hint="eastAsia"/>
          <w:u w:val="single"/>
          <w:shd w:val="clear" w:color="auto" w:fill="FFFFFF"/>
        </w:rPr>
        <w:t>（1）竞价人须提供专项承诺函并承诺所投产品满足国家强制性要求或认证，并对其真实性负责，承诺函格式自拟，否则报名审核不通过。</w:t>
      </w:r>
    </w:p>
    <w:p>
      <w:pPr>
        <w:pStyle w:val="17"/>
        <w:spacing w:before="0" w:beforeAutospacing="0" w:after="0" w:afterAutospacing="0" w:line="500" w:lineRule="exact"/>
        <w:ind w:firstLine="482" w:firstLineChars="200"/>
        <w:rPr>
          <w:rStyle w:val="21"/>
          <w:u w:val="single"/>
        </w:rPr>
      </w:pPr>
      <w:r>
        <w:rPr>
          <w:rStyle w:val="21"/>
          <w:rFonts w:hint="eastAsia"/>
          <w:u w:val="single"/>
        </w:rPr>
        <w:t>（2）按照《财政部 国家发展改革委关于印发节能产品政府采购品目清单的通知》，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详见《节能产品政府采购品目清单》“★”标注）。其他品目为政府优先采购的节能产品。竞价人所投产品若属于政府强制采购的节能产品，在投标时须提供所投政府强制节能产品由国家确定的认证机构出具的、处于有效期之内的产品认证证书复印件。</w:t>
      </w:r>
    </w:p>
    <w:p>
      <w:pPr>
        <w:pStyle w:val="17"/>
        <w:spacing w:before="0" w:beforeAutospacing="0" w:after="0" w:afterAutospacing="0" w:line="500" w:lineRule="exact"/>
        <w:ind w:firstLine="480" w:firstLineChars="200"/>
        <w:rPr>
          <w:rStyle w:val="21"/>
          <w:b w:val="0"/>
          <w:bCs w:val="0"/>
        </w:rPr>
      </w:pPr>
      <w:r>
        <w:rPr>
          <w:rStyle w:val="21"/>
          <w:rFonts w:hint="eastAsia"/>
          <w:b w:val="0"/>
          <w:bCs w:val="0"/>
        </w:rPr>
        <w:t>3.竞价人的报价应包含履行合同所涉及的所有费用，包括货物制造、包装、运输、装卸、税金、保险、安装、搬运、调试、验收、培训、检验、保修、招标代理服务费等一切相关费用。</w:t>
      </w:r>
    </w:p>
    <w:p>
      <w:pPr>
        <w:spacing w:line="500" w:lineRule="exact"/>
        <w:rPr>
          <w:rFonts w:ascii="宋体" w:hAnsi="宋体" w:cs="宋体"/>
          <w:b/>
          <w:bCs/>
          <w:sz w:val="24"/>
        </w:rPr>
      </w:pPr>
      <w:r>
        <w:rPr>
          <w:rFonts w:hint="eastAsia" w:ascii="宋体" w:hAnsi="宋体" w:cs="宋体"/>
          <w:b/>
          <w:bCs/>
          <w:sz w:val="24"/>
        </w:rPr>
        <w:t>二、技术参数及商务条款</w:t>
      </w:r>
    </w:p>
    <w:p>
      <w:pPr>
        <w:pStyle w:val="9"/>
        <w:spacing w:line="500" w:lineRule="exact"/>
        <w:ind w:firstLine="482" w:firstLineChars="200"/>
        <w:rPr>
          <w:rFonts w:ascii="宋体" w:hAnsi="宋体" w:cs="宋体"/>
          <w:b/>
          <w:bCs/>
          <w:kern w:val="0"/>
          <w:sz w:val="24"/>
          <w:szCs w:val="24"/>
        </w:rPr>
      </w:pPr>
      <w:r>
        <w:rPr>
          <w:rFonts w:hint="eastAsia" w:ascii="宋体" w:hAnsi="宋体" w:cs="宋体"/>
          <w:b/>
          <w:bCs/>
          <w:kern w:val="0"/>
          <w:sz w:val="24"/>
          <w:szCs w:val="24"/>
        </w:rPr>
        <w:t>1.技术参数</w:t>
      </w:r>
    </w:p>
    <w:tbl>
      <w:tblPr>
        <w:tblStyle w:val="18"/>
        <w:tblW w:w="4997" w:type="pct"/>
        <w:tblInd w:w="0" w:type="dxa"/>
        <w:tblLayout w:type="autofit"/>
        <w:tblCellMar>
          <w:top w:w="0" w:type="dxa"/>
          <w:left w:w="108" w:type="dxa"/>
          <w:bottom w:w="0" w:type="dxa"/>
          <w:right w:w="108" w:type="dxa"/>
        </w:tblCellMar>
      </w:tblPr>
      <w:tblGrid>
        <w:gridCol w:w="729"/>
        <w:gridCol w:w="1183"/>
        <w:gridCol w:w="7223"/>
        <w:gridCol w:w="804"/>
      </w:tblGrid>
      <w:tr>
        <w:tblPrEx>
          <w:tblCellMar>
            <w:top w:w="0" w:type="dxa"/>
            <w:left w:w="108" w:type="dxa"/>
            <w:bottom w:w="0" w:type="dxa"/>
            <w:right w:w="108" w:type="dxa"/>
          </w:tblCellMar>
        </w:tblPrEx>
        <w:trPr>
          <w:trHeight w:val="229" w:hRule="atLeast"/>
        </w:trPr>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序号</w:t>
            </w:r>
          </w:p>
        </w:tc>
        <w:tc>
          <w:tcPr>
            <w:tcW w:w="59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采购标的</w:t>
            </w:r>
          </w:p>
          <w:p>
            <w:pPr>
              <w:widowControl/>
              <w:jc w:val="center"/>
              <w:rPr>
                <w:rFonts w:ascii="宋体" w:hAnsi="宋体" w:cs="宋体"/>
                <w:kern w:val="0"/>
                <w:sz w:val="24"/>
              </w:rPr>
            </w:pPr>
            <w:r>
              <w:rPr>
                <w:rFonts w:hint="eastAsia" w:ascii="宋体" w:hAnsi="宋体" w:cs="宋体"/>
                <w:kern w:val="0"/>
                <w:sz w:val="24"/>
              </w:rPr>
              <w:t>名称</w:t>
            </w:r>
          </w:p>
        </w:tc>
        <w:tc>
          <w:tcPr>
            <w:tcW w:w="36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技术参数</w:t>
            </w:r>
          </w:p>
        </w:tc>
        <w:tc>
          <w:tcPr>
            <w:tcW w:w="39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数量</w:t>
            </w:r>
          </w:p>
        </w:tc>
      </w:tr>
      <w:tr>
        <w:tblPrEx>
          <w:tblCellMar>
            <w:top w:w="0" w:type="dxa"/>
            <w:left w:w="108" w:type="dxa"/>
            <w:bottom w:w="0" w:type="dxa"/>
            <w:right w:w="108" w:type="dxa"/>
          </w:tblCellMar>
        </w:tblPrEx>
        <w:trPr>
          <w:trHeight w:val="381" w:hRule="atLeast"/>
        </w:trPr>
        <w:tc>
          <w:tcPr>
            <w:tcW w:w="3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 </w:t>
            </w:r>
          </w:p>
        </w:tc>
        <w:tc>
          <w:tcPr>
            <w:tcW w:w="5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拼接处理器</w:t>
            </w:r>
          </w:p>
        </w:tc>
        <w:tc>
          <w:tcPr>
            <w:tcW w:w="36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kern w:val="0"/>
                <w:sz w:val="24"/>
              </w:rPr>
              <w:t>1.设备机箱采用折弯及模具冲压成型；零部件间通过拉铆及螺钉紧固，保证主体强度；采用5U金属结构机箱，防护等级符合GB/T4208-2017中IP20标准要求。</w:t>
            </w:r>
            <w:r>
              <w:rPr>
                <w:rFonts w:hint="eastAsia" w:ascii="宋体" w:hAnsi="宋体" w:cs="宋体"/>
                <w:kern w:val="0"/>
                <w:sz w:val="24"/>
              </w:rPr>
              <w:br w:type="textWrapping"/>
            </w:r>
            <w:r>
              <w:rPr>
                <w:rFonts w:hint="eastAsia" w:ascii="宋体" w:hAnsi="宋体" w:cs="宋体"/>
                <w:kern w:val="0"/>
                <w:sz w:val="24"/>
              </w:rPr>
              <w:t>2.设备前面板液晶采用LED背光设计，支持触摸操作，分辨率≥1280×800，无需连接额外的电脑和软件，在设备端即可实时查看监控设备运行参数与状态；内嵌≥7英寸多点触控电容液晶屏。</w:t>
            </w:r>
            <w:r>
              <w:rPr>
                <w:rFonts w:hint="eastAsia" w:ascii="宋体" w:hAnsi="宋体" w:cs="宋体"/>
                <w:kern w:val="0"/>
                <w:sz w:val="24"/>
              </w:rPr>
              <w:br w:type="textWrapping"/>
            </w:r>
            <w:r>
              <w:rPr>
                <w:rFonts w:hint="eastAsia" w:ascii="宋体" w:hAnsi="宋体" w:cs="宋体"/>
                <w:kern w:val="0"/>
                <w:sz w:val="24"/>
              </w:rPr>
              <w:t>3.通过设备前面板液晶，实现设备名称、设备SN、设备接口连接状态、运行状态（温度、电压、风扇）、IP地址、固件版本、公司信息等设备状态监测，同时可在液晶端实现当前屏幕内容的实时预监回显。</w:t>
            </w:r>
            <w:r>
              <w:rPr>
                <w:rFonts w:hint="eastAsia" w:ascii="宋体" w:hAnsi="宋体" w:cs="宋体"/>
                <w:kern w:val="0"/>
                <w:sz w:val="24"/>
              </w:rPr>
              <w:br w:type="textWrapping"/>
            </w:r>
            <w:r>
              <w:rPr>
                <w:rFonts w:hint="eastAsia" w:ascii="宋体" w:hAnsi="宋体" w:cs="宋体"/>
                <w:kern w:val="0"/>
                <w:sz w:val="24"/>
              </w:rPr>
              <w:t>4.通过设备前面板触控屏，在设备端通过液晶触摸操作，既能完成设备网络IP和中控串口的参数设置，也能实现固件升级、U盘文件备份的导入导出、液晶亮度调节，以及中英文显示内容的切换。</w:t>
            </w:r>
            <w:r>
              <w:rPr>
                <w:rFonts w:hint="eastAsia" w:ascii="宋体" w:hAnsi="宋体" w:cs="宋体"/>
                <w:kern w:val="0"/>
                <w:sz w:val="24"/>
              </w:rPr>
              <w:br w:type="textWrapping"/>
            </w:r>
            <w:r>
              <w:rPr>
                <w:rFonts w:hint="eastAsia" w:ascii="宋体" w:hAnsi="宋体" w:cs="宋体"/>
                <w:kern w:val="0"/>
                <w:sz w:val="24"/>
              </w:rPr>
              <w:t>5.设备供电系统采用高可靠性设计，电源配置双电源，选用具备冗余电源备份功能和并机电流均衡功能的工业级服务器电源，满足热插拔或单体故障不断电功能，提供全面的故障恢复机制与电路保护功能，可实现不间断工作≥16万小时，保障设备长期稳定运行不断电。</w:t>
            </w:r>
            <w:r>
              <w:rPr>
                <w:rFonts w:hint="eastAsia" w:ascii="宋体" w:hAnsi="宋体" w:cs="宋体"/>
                <w:kern w:val="0"/>
                <w:sz w:val="24"/>
              </w:rPr>
              <w:br w:type="textWrapping"/>
            </w:r>
            <w:r>
              <w:rPr>
                <w:rFonts w:hint="eastAsia" w:ascii="宋体" w:hAnsi="宋体" w:cs="宋体"/>
                <w:kern w:val="0"/>
                <w:sz w:val="24"/>
              </w:rPr>
              <w:t>6.可维护性设计，支持输入板卡、输出板卡、预监板卡的热插拔功能，设备无需关机重启和设置，更换板卡后快速恢复之前图层数据，保证画面正常播放，可实现板卡灵活更换，维护便捷。采用左进右出的强制风冷循环模式，在环境温度≥45℃下，可保证设备长期稳定运转。</w:t>
            </w:r>
            <w:r>
              <w:rPr>
                <w:rFonts w:hint="eastAsia" w:ascii="宋体" w:hAnsi="宋体" w:cs="宋体"/>
                <w:kern w:val="0"/>
                <w:sz w:val="24"/>
              </w:rPr>
              <w:br w:type="textWrapping"/>
            </w:r>
            <w:r>
              <w:rPr>
                <w:rFonts w:hint="eastAsia" w:ascii="宋体" w:hAnsi="宋体" w:cs="宋体"/>
                <w:kern w:val="0"/>
                <w:sz w:val="24"/>
              </w:rPr>
              <w:t>7.设备具备输入板卡、输出板卡、预监板卡、主控板卡，均采用插卡式设计，同时内置数据交换背板，支持设备温度、电压、风扇在线状态监测。</w:t>
            </w:r>
            <w:r>
              <w:rPr>
                <w:rFonts w:hint="eastAsia" w:ascii="宋体" w:hAnsi="宋体" w:cs="宋体"/>
                <w:kern w:val="0"/>
                <w:sz w:val="24"/>
              </w:rPr>
              <w:br w:type="textWrapping"/>
            </w:r>
            <w:r>
              <w:rPr>
                <w:rFonts w:hint="eastAsia" w:ascii="宋体" w:hAnsi="宋体" w:cs="宋体"/>
                <w:kern w:val="0"/>
                <w:sz w:val="24"/>
              </w:rPr>
              <w:t>8.单台设备支持≥40路HDMI、DVI输入和≥48路网口输出≥+6路10G光口输出或≥40路HDMI、DVI输入和≥12路HDMI、DVI输出。</w:t>
            </w:r>
            <w:r>
              <w:rPr>
                <w:rFonts w:hint="eastAsia" w:ascii="宋体" w:hAnsi="宋体" w:cs="宋体"/>
                <w:kern w:val="0"/>
                <w:sz w:val="24"/>
              </w:rPr>
              <w:br w:type="textWrapping"/>
            </w:r>
            <w:r>
              <w:rPr>
                <w:rFonts w:hint="eastAsia" w:ascii="宋体" w:hAnsi="宋体" w:cs="宋体"/>
                <w:kern w:val="0"/>
                <w:sz w:val="24"/>
              </w:rPr>
              <w:t>9.单个二合一网口输出卡最大输出视频分辨率≥5120 x 2048或≥10240 x 972,带载宽度和高度最大可达≥10240，单台设备最多可接入≥3张二合一网口输出卡。</w:t>
            </w:r>
            <w:r>
              <w:rPr>
                <w:rFonts w:hint="eastAsia" w:ascii="宋体" w:hAnsi="宋体" w:cs="宋体"/>
                <w:kern w:val="0"/>
                <w:sz w:val="24"/>
              </w:rPr>
              <w:br w:type="textWrapping"/>
            </w:r>
            <w:r>
              <w:rPr>
                <w:rFonts w:hint="eastAsia" w:ascii="宋体" w:hAnsi="宋体" w:cs="宋体"/>
                <w:kern w:val="0"/>
                <w:sz w:val="24"/>
              </w:rPr>
              <w:t>10.系统为基于FPGA的纯硬件架构设计，内部视频数据传输采用CrossPoint矩阵总线交换技术，输入和输出总线带宽高达≥312 Gbps，单张输入板卡视频总线传输带宽高达≥5*6.5 Gbps，单张输出板卡视频总线传输带宽≥16*6.5 Gbps。</w:t>
            </w:r>
            <w:r>
              <w:rPr>
                <w:rFonts w:hint="eastAsia" w:ascii="宋体" w:hAnsi="宋体" w:cs="宋体"/>
                <w:kern w:val="0"/>
                <w:sz w:val="24"/>
              </w:rPr>
              <w:br w:type="textWrapping"/>
            </w:r>
            <w:r>
              <w:rPr>
                <w:rFonts w:hint="eastAsia" w:ascii="宋体" w:hAnsi="宋体" w:cs="宋体"/>
                <w:kern w:val="0"/>
                <w:sz w:val="24"/>
              </w:rPr>
              <w:t>11.支持通过内嵌BS拼接器配置软件，在线完成固件升级，也支持通过U盘进行离线导入升级，固件版本智能向前兼容，升级过程安全、稳定、快速，成功率高达100%，可实时刷新显示设备及各板卡的固件版本信息，便于现场快速确认升级结果。</w:t>
            </w:r>
            <w:r>
              <w:rPr>
                <w:rFonts w:hint="eastAsia" w:ascii="宋体" w:hAnsi="宋体" w:cs="宋体"/>
                <w:kern w:val="0"/>
                <w:sz w:val="24"/>
              </w:rPr>
              <w:br w:type="textWrapping"/>
            </w:r>
            <w:r>
              <w:rPr>
                <w:rFonts w:hint="eastAsia" w:ascii="宋体" w:hAnsi="宋体" w:cs="宋体"/>
                <w:kern w:val="0"/>
                <w:sz w:val="24"/>
              </w:rPr>
              <w:t>12.设备单卡最大支持创建≥4个屏幕，单台设备最大支持创建高达≥12个屏幕；支持屏幕非规则建屏，且可实现单卡单接口建屏。</w:t>
            </w:r>
            <w:r>
              <w:rPr>
                <w:rFonts w:hint="eastAsia" w:ascii="宋体" w:hAnsi="宋体" w:cs="宋体"/>
                <w:kern w:val="0"/>
                <w:sz w:val="24"/>
              </w:rPr>
              <w:br w:type="textWrapping"/>
            </w:r>
            <w:r>
              <w:rPr>
                <w:rFonts w:hint="eastAsia" w:ascii="宋体" w:hAnsi="宋体" w:cs="宋体"/>
                <w:kern w:val="0"/>
                <w:sz w:val="24"/>
              </w:rPr>
              <w:t>13.DVI和HDMI等2K视频输出接口，输出宽度和输出高度最大支持≥2560，单张DVI和HDMI等2K视频输出板卡支持的最大分辨率为≥10240x972@60Hz</w:t>
            </w:r>
            <w:r>
              <w:rPr>
                <w:rFonts w:hint="eastAsia" w:ascii="宋体" w:hAnsi="宋体" w:cs="宋体"/>
                <w:color w:val="auto"/>
                <w:kern w:val="0"/>
                <w:sz w:val="24"/>
              </w:rPr>
              <w:t>或≥884x10240@60Hz。</w:t>
            </w:r>
          </w:p>
          <w:p>
            <w:pPr>
              <w:widowControl/>
              <w:jc w:val="left"/>
              <w:rPr>
                <w:rFonts w:ascii="宋体" w:hAnsi="宋体" w:cs="宋体"/>
                <w:kern w:val="0"/>
                <w:sz w:val="24"/>
              </w:rPr>
            </w:pPr>
            <w:r>
              <w:rPr>
                <w:rFonts w:hint="eastAsia" w:ascii="宋体" w:hAnsi="宋体" w:cs="宋体"/>
                <w:color w:val="auto"/>
                <w:kern w:val="0"/>
                <w:sz w:val="24"/>
              </w:rPr>
              <w:t>14.须与安溪茶学院会堂现有的LED屏（</w:t>
            </w:r>
            <w:r>
              <w:rPr>
                <w:rFonts w:ascii="宋体" w:hAnsi="宋体" w:cs="宋体"/>
                <w:color w:val="auto"/>
                <w:sz w:val="24"/>
              </w:rPr>
              <w:t>唯真视界/WZ P2.0室内全彩色LED显示屏</w:t>
            </w:r>
            <w:r>
              <w:rPr>
                <w:rFonts w:hint="eastAsia" w:ascii="宋体" w:hAnsi="宋体" w:cs="宋体"/>
                <w:color w:val="auto"/>
                <w:kern w:val="0"/>
                <w:sz w:val="24"/>
              </w:rPr>
              <w:t>）相互兼容，不得出现延迟、闪屏、黑屏等故障现象。</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1台</w:t>
            </w:r>
          </w:p>
        </w:tc>
      </w:tr>
      <w:tr>
        <w:tblPrEx>
          <w:tblCellMar>
            <w:top w:w="0" w:type="dxa"/>
            <w:left w:w="108" w:type="dxa"/>
            <w:bottom w:w="0" w:type="dxa"/>
            <w:right w:w="108" w:type="dxa"/>
          </w:tblCellMar>
        </w:tblPrEx>
        <w:trPr>
          <w:trHeight w:val="2814" w:hRule="atLeast"/>
        </w:trPr>
        <w:tc>
          <w:tcPr>
            <w:tcW w:w="3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5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接收卡</w:t>
            </w:r>
          </w:p>
        </w:tc>
        <w:tc>
          <w:tcPr>
            <w:tcW w:w="36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1.单卡支持≥24组数据输出模式；</w:t>
            </w:r>
            <w:r>
              <w:rPr>
                <w:rFonts w:hint="eastAsia" w:ascii="宋体" w:hAnsi="宋体" w:cs="宋体"/>
                <w:kern w:val="0"/>
                <w:sz w:val="24"/>
              </w:rPr>
              <w:br w:type="textWrapping"/>
            </w:r>
            <w:r>
              <w:rPr>
                <w:rFonts w:hint="eastAsia" w:ascii="宋体" w:hAnsi="宋体" w:cs="宋体"/>
                <w:kern w:val="0"/>
                <w:sz w:val="24"/>
              </w:rPr>
              <w:t>2.单卡自带≥12个HUB75 16P接口；</w:t>
            </w:r>
            <w:r>
              <w:rPr>
                <w:rFonts w:hint="eastAsia" w:ascii="宋体" w:hAnsi="宋体" w:cs="宋体"/>
                <w:kern w:val="0"/>
                <w:sz w:val="24"/>
              </w:rPr>
              <w:br w:type="textWrapping"/>
            </w:r>
            <w:r>
              <w:rPr>
                <w:rFonts w:hint="eastAsia" w:ascii="宋体" w:hAnsi="宋体" w:cs="宋体"/>
                <w:kern w:val="0"/>
                <w:sz w:val="24"/>
              </w:rPr>
              <w:t>3.单卡带载像素≥512*512。</w:t>
            </w:r>
            <w:r>
              <w:rPr>
                <w:rFonts w:hint="eastAsia" w:ascii="宋体" w:hAnsi="宋体" w:cs="宋体"/>
                <w:kern w:val="0"/>
                <w:sz w:val="24"/>
              </w:rPr>
              <w:br w:type="textWrapping"/>
            </w:r>
            <w:r>
              <w:rPr>
                <w:rFonts w:hint="eastAsia" w:ascii="宋体" w:hAnsi="宋体" w:cs="宋体"/>
                <w:kern w:val="0"/>
                <w:sz w:val="24"/>
              </w:rPr>
              <w:t>4.支持逐点亮色度校正、多批次、亮暗线调节和显示屏效果调节等功能，与3D控制器搭配支持3D效果；</w:t>
            </w:r>
            <w:r>
              <w:rPr>
                <w:rFonts w:hint="eastAsia" w:ascii="宋体" w:hAnsi="宋体" w:cs="宋体"/>
                <w:kern w:val="0"/>
                <w:sz w:val="24"/>
              </w:rPr>
              <w:br w:type="textWrapping"/>
            </w:r>
            <w:r>
              <w:rPr>
                <w:rFonts w:hint="eastAsia" w:ascii="宋体" w:hAnsi="宋体" w:cs="宋体"/>
                <w:kern w:val="0"/>
                <w:sz w:val="24"/>
              </w:rPr>
              <w:t>5.支持接收卡预存画面和保留最后一帧设置；</w:t>
            </w:r>
            <w:r>
              <w:rPr>
                <w:rFonts w:hint="eastAsia" w:ascii="宋体" w:hAnsi="宋体" w:cs="宋体"/>
                <w:kern w:val="0"/>
                <w:sz w:val="24"/>
              </w:rPr>
              <w:br w:type="textWrapping"/>
            </w:r>
            <w:r>
              <w:rPr>
                <w:rFonts w:hint="eastAsia" w:ascii="宋体" w:hAnsi="宋体" w:cs="宋体"/>
                <w:kern w:val="0"/>
                <w:sz w:val="24"/>
              </w:rPr>
              <w:t>6.支持灯板flash管理；</w:t>
            </w:r>
            <w:r>
              <w:rPr>
                <w:rFonts w:hint="eastAsia" w:ascii="宋体" w:hAnsi="宋体" w:cs="宋体"/>
                <w:kern w:val="0"/>
                <w:sz w:val="24"/>
              </w:rPr>
              <w:br w:type="textWrapping"/>
            </w:r>
            <w:r>
              <w:rPr>
                <w:rFonts w:hint="eastAsia" w:ascii="宋体" w:hAnsi="宋体" w:cs="宋体"/>
                <w:kern w:val="0"/>
                <w:sz w:val="24"/>
              </w:rPr>
              <w:t>7.支持≥5pin液晶模块；</w:t>
            </w:r>
            <w:r>
              <w:rPr>
                <w:rFonts w:hint="eastAsia" w:ascii="宋体" w:hAnsi="宋体" w:cs="宋体"/>
                <w:kern w:val="0"/>
                <w:sz w:val="24"/>
              </w:rPr>
              <w:br w:type="textWrapping"/>
            </w:r>
            <w:r>
              <w:rPr>
                <w:rFonts w:hint="eastAsia" w:ascii="宋体" w:hAnsi="宋体" w:cs="宋体"/>
                <w:kern w:val="0"/>
                <w:sz w:val="24"/>
              </w:rPr>
              <w:t>8.支持千兆网，可通过网线直接连接PC端进行调试和显示；</w:t>
            </w:r>
            <w:r>
              <w:rPr>
                <w:rFonts w:hint="eastAsia" w:ascii="宋体" w:hAnsi="宋体" w:cs="宋体"/>
                <w:kern w:val="0"/>
                <w:sz w:val="24"/>
              </w:rPr>
              <w:br w:type="textWrapping"/>
            </w:r>
            <w:r>
              <w:rPr>
                <w:rFonts w:hint="eastAsia" w:ascii="宋体" w:hAnsi="宋体" w:cs="宋体"/>
                <w:kern w:val="0"/>
                <w:sz w:val="24"/>
              </w:rPr>
              <w:t>9.支持接收卡参数及程序包回读；</w:t>
            </w:r>
            <w:r>
              <w:rPr>
                <w:rFonts w:hint="eastAsia" w:ascii="宋体" w:hAnsi="宋体" w:cs="宋体"/>
                <w:kern w:val="0"/>
                <w:sz w:val="24"/>
              </w:rPr>
              <w:br w:type="textWrapping"/>
            </w:r>
            <w:r>
              <w:rPr>
                <w:rFonts w:hint="eastAsia" w:ascii="宋体" w:hAnsi="宋体" w:cs="宋体"/>
                <w:kern w:val="0"/>
                <w:sz w:val="24"/>
              </w:rPr>
              <w:t>10.接收卡电源接口与灯板电源接口一致（与灯板电源一致）；</w:t>
            </w:r>
          </w:p>
          <w:p>
            <w:pPr>
              <w:widowControl/>
              <w:jc w:val="left"/>
              <w:rPr>
                <w:rFonts w:ascii="宋体" w:hAnsi="宋体" w:cs="宋体"/>
                <w:kern w:val="0"/>
                <w:sz w:val="24"/>
              </w:rPr>
            </w:pPr>
            <w:r>
              <w:rPr>
                <w:rFonts w:hint="eastAsia" w:ascii="宋体" w:hAnsi="宋体" w:cs="宋体"/>
                <w:kern w:val="0"/>
                <w:sz w:val="24"/>
              </w:rPr>
              <w:t>11.须与</w:t>
            </w:r>
            <w:r>
              <w:rPr>
                <w:rFonts w:hint="eastAsia" w:ascii="宋体" w:hAnsi="宋体" w:cs="宋体"/>
                <w:color w:val="auto"/>
                <w:kern w:val="0"/>
                <w:sz w:val="24"/>
              </w:rPr>
              <w:t>安溪茶学院会堂现有的LED屏（</w:t>
            </w:r>
            <w:r>
              <w:rPr>
                <w:rFonts w:ascii="宋体" w:hAnsi="宋体" w:cs="宋体"/>
                <w:color w:val="auto"/>
                <w:sz w:val="24"/>
              </w:rPr>
              <w:t>唯真视界/WZ P2.0室内全彩色LED显示屏</w:t>
            </w:r>
            <w:r>
              <w:rPr>
                <w:rFonts w:hint="eastAsia" w:ascii="宋体" w:hAnsi="宋体" w:cs="宋体"/>
                <w:color w:val="auto"/>
                <w:kern w:val="0"/>
                <w:sz w:val="24"/>
              </w:rPr>
              <w:t>）相互兼容。</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1套</w:t>
            </w:r>
          </w:p>
        </w:tc>
      </w:tr>
      <w:tr>
        <w:tblPrEx>
          <w:tblCellMar>
            <w:top w:w="0" w:type="dxa"/>
            <w:left w:w="108" w:type="dxa"/>
            <w:bottom w:w="0" w:type="dxa"/>
            <w:right w:w="108" w:type="dxa"/>
          </w:tblCellMar>
        </w:tblPrEx>
        <w:trPr>
          <w:trHeight w:val="899" w:hRule="atLeast"/>
        </w:trPr>
        <w:tc>
          <w:tcPr>
            <w:tcW w:w="3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5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配电柜</w:t>
            </w:r>
          </w:p>
        </w:tc>
        <w:tc>
          <w:tcPr>
            <w:tcW w:w="36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1.配电柜输入电压为交流380V±15%，工频50Hz。具有过压、、浪涌、短路、过流、过载、漏电等保护功能。                                </w:t>
            </w:r>
          </w:p>
          <w:p>
            <w:pPr>
              <w:widowControl/>
              <w:jc w:val="left"/>
              <w:rPr>
                <w:rFonts w:ascii="宋体" w:hAnsi="宋体" w:cs="宋体"/>
                <w:kern w:val="0"/>
                <w:sz w:val="24"/>
              </w:rPr>
            </w:pPr>
            <w:r>
              <w:rPr>
                <w:rFonts w:hint="eastAsia" w:ascii="宋体" w:hAnsi="宋体" w:cs="宋体"/>
                <w:kern w:val="0"/>
                <w:sz w:val="24"/>
              </w:rPr>
              <w:t>2.输出分路：24路，单相交流220V；</w:t>
            </w:r>
          </w:p>
          <w:p>
            <w:pPr>
              <w:widowControl/>
              <w:jc w:val="left"/>
              <w:rPr>
                <w:rFonts w:ascii="宋体" w:hAnsi="宋体" w:cs="宋体"/>
                <w:kern w:val="0"/>
                <w:sz w:val="24"/>
              </w:rPr>
            </w:pPr>
            <w:r>
              <w:rPr>
                <w:rFonts w:hint="eastAsia" w:ascii="宋体" w:hAnsi="宋体" w:cs="宋体"/>
                <w:kern w:val="0"/>
                <w:sz w:val="24"/>
              </w:rPr>
              <w:t>3.控制方式：手动+远程控制；</w:t>
            </w:r>
            <w:r>
              <w:rPr>
                <w:rFonts w:hint="eastAsia" w:ascii="宋体" w:hAnsi="宋体" w:cs="宋体"/>
                <w:kern w:val="0"/>
                <w:sz w:val="24"/>
              </w:rPr>
              <w:br w:type="textWrapping"/>
            </w:r>
            <w:r>
              <w:rPr>
                <w:rFonts w:hint="eastAsia" w:ascii="宋体" w:hAnsi="宋体" w:cs="宋体"/>
                <w:kern w:val="0"/>
                <w:sz w:val="24"/>
              </w:rPr>
              <w:t>4.手动控制：一键启停，分步上电、断电；</w:t>
            </w:r>
            <w:r>
              <w:rPr>
                <w:rFonts w:hint="eastAsia" w:ascii="宋体" w:hAnsi="宋体" w:cs="宋体"/>
                <w:kern w:val="0"/>
                <w:sz w:val="24"/>
              </w:rPr>
              <w:br w:type="textWrapping"/>
            </w:r>
            <w:r>
              <w:rPr>
                <w:rFonts w:hint="eastAsia" w:ascii="宋体" w:hAnsi="宋体" w:cs="宋体"/>
                <w:kern w:val="0"/>
                <w:sz w:val="24"/>
              </w:rPr>
              <w:t>5.远程控制：多功能卡控制；</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1台</w:t>
            </w:r>
          </w:p>
        </w:tc>
      </w:tr>
      <w:tr>
        <w:tblPrEx>
          <w:tblCellMar>
            <w:top w:w="0" w:type="dxa"/>
            <w:left w:w="108" w:type="dxa"/>
            <w:bottom w:w="0" w:type="dxa"/>
            <w:right w:w="108" w:type="dxa"/>
          </w:tblCellMar>
        </w:tblPrEx>
        <w:trPr>
          <w:trHeight w:val="496" w:hRule="atLeast"/>
        </w:trPr>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安装</w:t>
            </w:r>
          </w:p>
        </w:tc>
        <w:tc>
          <w:tcPr>
            <w:tcW w:w="3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1.包含本项目所需安装、现有LED屏钢架结构、包边装饰、LED屏对接调试所须的费用。</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1套</w:t>
            </w:r>
          </w:p>
        </w:tc>
      </w:tr>
      <w:tr>
        <w:tblPrEx>
          <w:tblCellMar>
            <w:top w:w="0" w:type="dxa"/>
            <w:left w:w="108" w:type="dxa"/>
            <w:bottom w:w="0" w:type="dxa"/>
            <w:right w:w="108" w:type="dxa"/>
          </w:tblCellMar>
        </w:tblPrEx>
        <w:trPr>
          <w:trHeight w:val="496"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spacing w:after="0"/>
              <w:ind w:firstLine="0" w:firstLineChars="0"/>
              <w:rPr>
                <w:rFonts w:hint="eastAsia"/>
                <w:b/>
                <w:bCs/>
                <w:sz w:val="24"/>
                <w:u w:val="single"/>
              </w:rPr>
            </w:pPr>
            <w:r>
              <w:rPr>
                <w:rFonts w:hint="eastAsia"/>
                <w:b/>
                <w:bCs/>
                <w:sz w:val="24"/>
                <w:u w:val="single"/>
              </w:rPr>
              <w:t>说明：</w:t>
            </w:r>
          </w:p>
          <w:p>
            <w:pPr>
              <w:pStyle w:val="2"/>
              <w:spacing w:after="0"/>
              <w:ind w:firstLine="0" w:firstLineChars="0"/>
              <w:rPr>
                <w:b/>
                <w:bCs/>
                <w:sz w:val="24"/>
                <w:highlight w:val="none"/>
                <w:u w:val="single"/>
              </w:rPr>
            </w:pPr>
            <w:r>
              <w:rPr>
                <w:rFonts w:hint="eastAsia"/>
                <w:b/>
                <w:bCs/>
                <w:sz w:val="24"/>
                <w:highlight w:val="none"/>
                <w:u w:val="single"/>
              </w:rPr>
              <w:t>1、竞价人须在</w:t>
            </w:r>
            <w:r>
              <w:rPr>
                <w:rFonts w:hint="eastAsia"/>
                <w:b/>
                <w:bCs/>
                <w:sz w:val="24"/>
                <w:highlight w:val="none"/>
                <w:u w:val="single"/>
                <w:lang w:eastAsia="zh-CN"/>
              </w:rPr>
              <w:t>报价</w:t>
            </w:r>
            <w:r>
              <w:rPr>
                <w:rFonts w:hint="eastAsia"/>
                <w:b/>
                <w:bCs/>
                <w:sz w:val="24"/>
                <w:highlight w:val="none"/>
                <w:u w:val="single"/>
              </w:rPr>
              <w:t>文件中对本表序号1至序号4的所有产品作出单价报价，否则报</w:t>
            </w:r>
            <w:r>
              <w:rPr>
                <w:rFonts w:hint="eastAsia"/>
                <w:b/>
                <w:bCs/>
                <w:sz w:val="24"/>
                <w:highlight w:val="none"/>
                <w:u w:val="single"/>
                <w:lang w:val="en-US" w:eastAsia="zh-CN"/>
              </w:rPr>
              <w:t>价无效</w:t>
            </w:r>
            <w:r>
              <w:rPr>
                <w:rFonts w:hint="eastAsia"/>
                <w:b/>
                <w:bCs/>
                <w:sz w:val="24"/>
                <w:highlight w:val="none"/>
                <w:u w:val="single"/>
              </w:rPr>
              <w:t>。</w:t>
            </w:r>
          </w:p>
          <w:p>
            <w:pPr>
              <w:widowControl/>
            </w:pPr>
            <w:r>
              <w:rPr>
                <w:rFonts w:hint="eastAsia"/>
                <w:b/>
                <w:bCs/>
                <w:sz w:val="24"/>
                <w:u w:val="single"/>
                <w:lang w:val="en-US" w:eastAsia="zh-CN"/>
              </w:rPr>
              <w:t>2、</w:t>
            </w:r>
            <w:r>
              <w:rPr>
                <w:rFonts w:hint="eastAsia"/>
                <w:b/>
                <w:bCs/>
                <w:sz w:val="24"/>
                <w:u w:val="single"/>
              </w:rPr>
              <w:t>竞价人须在</w:t>
            </w:r>
            <w:r>
              <w:rPr>
                <w:rFonts w:hint="eastAsia"/>
                <w:b/>
                <w:bCs/>
                <w:sz w:val="24"/>
                <w:u w:val="single"/>
                <w:lang w:eastAsia="zh-CN"/>
              </w:rPr>
              <w:t>报价</w:t>
            </w:r>
            <w:r>
              <w:rPr>
                <w:rFonts w:hint="eastAsia"/>
                <w:b/>
                <w:bCs/>
                <w:sz w:val="24"/>
                <w:u w:val="single"/>
              </w:rPr>
              <w:t>文件中明确列出本表序号1至序号3所有竞价产品的品牌型号，</w:t>
            </w:r>
            <w:r>
              <w:rPr>
                <w:rFonts w:hint="eastAsia"/>
                <w:b/>
                <w:bCs/>
                <w:sz w:val="24"/>
                <w:highlight w:val="none"/>
                <w:u w:val="single"/>
              </w:rPr>
              <w:t>否则报</w:t>
            </w:r>
            <w:r>
              <w:rPr>
                <w:rFonts w:hint="eastAsia"/>
                <w:b/>
                <w:bCs/>
                <w:sz w:val="24"/>
                <w:highlight w:val="none"/>
                <w:u w:val="single"/>
                <w:lang w:val="en-US" w:eastAsia="zh-CN"/>
              </w:rPr>
              <w:t>价无效。</w:t>
            </w:r>
          </w:p>
        </w:tc>
      </w:tr>
    </w:tbl>
    <w:p>
      <w:pPr>
        <w:spacing w:line="500" w:lineRule="exact"/>
        <w:ind w:firstLine="480" w:firstLineChars="200"/>
        <w:rPr>
          <w:rFonts w:ascii="宋体" w:hAnsi="宋体" w:cs="宋体"/>
          <w:bCs/>
          <w:sz w:val="24"/>
        </w:rPr>
      </w:pPr>
      <w:r>
        <w:rPr>
          <w:rFonts w:hint="eastAsia" w:ascii="宋体" w:hAnsi="宋体" w:cs="宋体"/>
          <w:bCs/>
          <w:sz w:val="24"/>
        </w:rPr>
        <w:t>2.竞价人的报价应包含安装所必须辅助材料、运输及安装等一切费用，采购人不再另行支付其他任何费用。</w:t>
      </w:r>
    </w:p>
    <w:p>
      <w:pPr>
        <w:widowControl/>
        <w:spacing w:line="500" w:lineRule="exact"/>
        <w:ind w:firstLine="482" w:firstLineChars="200"/>
        <w:jc w:val="left"/>
      </w:pPr>
      <w:r>
        <w:rPr>
          <w:rFonts w:hint="eastAsia" w:ascii="宋体" w:hAnsi="宋体" w:cs="宋体"/>
          <w:b/>
          <w:bCs/>
          <w:kern w:val="0"/>
          <w:sz w:val="24"/>
        </w:rPr>
        <w:t>(二)商务要求</w:t>
      </w:r>
    </w:p>
    <w:p>
      <w:pPr>
        <w:pStyle w:val="17"/>
        <w:spacing w:before="0" w:beforeAutospacing="0" w:after="0" w:afterAutospacing="0" w:line="500" w:lineRule="exact"/>
        <w:ind w:firstLine="482" w:firstLineChars="200"/>
        <w:rPr>
          <w:rStyle w:val="21"/>
          <w:b w:val="0"/>
          <w:color w:val="0000FF"/>
        </w:rPr>
      </w:pPr>
      <w:r>
        <w:rPr>
          <w:rStyle w:val="21"/>
          <w:rFonts w:hint="eastAsia"/>
          <w:bCs w:val="0"/>
        </w:rPr>
        <w:t>1.合同签订时间：</w:t>
      </w:r>
      <w:r>
        <w:rPr>
          <w:rStyle w:val="21"/>
          <w:rFonts w:hint="eastAsia"/>
          <w:b w:val="0"/>
          <w:color w:val="auto"/>
        </w:rPr>
        <w:t>成交人须在成交通知书发出之日起15日内与采购人签订合同。</w:t>
      </w:r>
    </w:p>
    <w:p>
      <w:pPr>
        <w:pStyle w:val="17"/>
        <w:spacing w:before="0" w:beforeAutospacing="0" w:after="0" w:afterAutospacing="0" w:line="500" w:lineRule="exact"/>
        <w:ind w:firstLine="482" w:firstLineChars="200"/>
        <w:rPr>
          <w:rStyle w:val="21"/>
          <w:b w:val="0"/>
        </w:rPr>
      </w:pPr>
      <w:r>
        <w:rPr>
          <w:rStyle w:val="21"/>
          <w:rFonts w:hint="eastAsia"/>
          <w:bCs w:val="0"/>
        </w:rPr>
        <w:t>2.交货地点：</w:t>
      </w:r>
      <w:r>
        <w:rPr>
          <w:rStyle w:val="21"/>
          <w:b w:val="0"/>
        </w:rPr>
        <w:t xml:space="preserve"> </w:t>
      </w:r>
      <w:r>
        <w:rPr>
          <w:rStyle w:val="21"/>
          <w:rFonts w:hint="eastAsia"/>
          <w:b w:val="0"/>
        </w:rPr>
        <w:t>福建省泉州市安溪县参内乡福建农林大学安溪茶学院内。</w:t>
      </w:r>
    </w:p>
    <w:p>
      <w:pPr>
        <w:pStyle w:val="17"/>
        <w:spacing w:before="0" w:beforeAutospacing="0" w:after="0" w:afterAutospacing="0" w:line="500" w:lineRule="exact"/>
        <w:ind w:firstLine="482" w:firstLineChars="200"/>
        <w:rPr>
          <w:rStyle w:val="21"/>
          <w:b w:val="0"/>
        </w:rPr>
      </w:pPr>
      <w:r>
        <w:rPr>
          <w:rStyle w:val="21"/>
          <w:rFonts w:hint="eastAsia"/>
          <w:bCs w:val="0"/>
        </w:rPr>
        <w:t>3.交货时间：</w:t>
      </w:r>
      <w:r>
        <w:rPr>
          <w:rStyle w:val="21"/>
          <w:rFonts w:hint="eastAsia"/>
          <w:b w:val="0"/>
        </w:rPr>
        <w:t xml:space="preserve">合同签订后60个日历日内安装调试验收完毕交付采购人使用。 </w:t>
      </w:r>
    </w:p>
    <w:p>
      <w:pPr>
        <w:spacing w:line="500" w:lineRule="exact"/>
        <w:ind w:firstLine="482" w:firstLineChars="200"/>
        <w:rPr>
          <w:rFonts w:ascii="宋体" w:hAnsi="宋体" w:cs="宋体"/>
          <w:color w:val="auto"/>
          <w:sz w:val="24"/>
        </w:rPr>
      </w:pPr>
      <w:r>
        <w:rPr>
          <w:rStyle w:val="21"/>
          <w:rFonts w:hint="eastAsia"/>
          <w:bCs w:val="0"/>
          <w:kern w:val="0"/>
          <w:sz w:val="24"/>
        </w:rPr>
        <w:t>4.</w:t>
      </w:r>
      <w:r>
        <w:rPr>
          <w:rFonts w:hint="eastAsia" w:ascii="宋体" w:hAnsi="宋体" w:cs="宋体"/>
          <w:b/>
          <w:bCs/>
          <w:sz w:val="24"/>
        </w:rPr>
        <w:t>是否收取履约保证金</w:t>
      </w:r>
      <w:r>
        <w:rPr>
          <w:rFonts w:hint="eastAsia" w:hAnsi="等线"/>
          <w:b/>
          <w:sz w:val="24"/>
        </w:rPr>
        <w:t>：是</w:t>
      </w:r>
      <w:r>
        <w:rPr>
          <w:rFonts w:hint="eastAsia" w:ascii="宋体" w:hAnsi="宋体" w:cs="宋体"/>
          <w:sz w:val="24"/>
        </w:rPr>
        <w:t>。</w:t>
      </w:r>
      <w:r>
        <w:rPr>
          <w:rFonts w:ascii="宋体" w:hAnsi="宋体" w:cs="宋体"/>
          <w:kern w:val="0"/>
          <w:sz w:val="24"/>
        </w:rPr>
        <w:t>履约保证金百分比：</w:t>
      </w:r>
      <w:r>
        <w:rPr>
          <w:rFonts w:hint="eastAsia" w:ascii="宋体" w:hAnsi="宋体" w:cs="宋体"/>
          <w:kern w:val="0"/>
          <w:sz w:val="24"/>
        </w:rPr>
        <w:t>3</w:t>
      </w:r>
      <w:r>
        <w:rPr>
          <w:rFonts w:ascii="宋体" w:hAnsi="宋体" w:cs="宋体"/>
          <w:kern w:val="0"/>
          <w:sz w:val="24"/>
        </w:rPr>
        <w:t>%。说明：</w:t>
      </w:r>
      <w:r>
        <w:rPr>
          <w:rFonts w:hint="eastAsia"/>
          <w:sz w:val="24"/>
        </w:rPr>
        <w:t>成交人</w:t>
      </w:r>
      <w:r>
        <w:rPr>
          <w:sz w:val="24"/>
        </w:rPr>
        <w:t>在签订采购合同前应向采购人缴纳合同总金额</w:t>
      </w:r>
      <w:r>
        <w:rPr>
          <w:rFonts w:hint="eastAsia"/>
          <w:sz w:val="24"/>
        </w:rPr>
        <w:t xml:space="preserve">3 </w:t>
      </w:r>
      <w:r>
        <w:rPr>
          <w:sz w:val="24"/>
        </w:rPr>
        <w:t>%的履约保证金，该履约保证金将在项目验收合格后且</w:t>
      </w:r>
      <w:r>
        <w:rPr>
          <w:rFonts w:hint="eastAsia"/>
          <w:sz w:val="24"/>
        </w:rPr>
        <w:t>成交人</w:t>
      </w:r>
      <w:r>
        <w:rPr>
          <w:sz w:val="24"/>
        </w:rPr>
        <w:t>无违约的前提下无息退还。如果是以保函形式缴纳履约保证金的，</w:t>
      </w:r>
      <w:r>
        <w:rPr>
          <w:rFonts w:hint="eastAsia"/>
          <w:sz w:val="24"/>
        </w:rPr>
        <w:t>成交人</w:t>
      </w:r>
      <w:r>
        <w:rPr>
          <w:sz w:val="24"/>
        </w:rPr>
        <w:t>必须开具见索即付(无条件支付)银行保</w:t>
      </w:r>
      <w:r>
        <w:rPr>
          <w:color w:val="auto"/>
          <w:sz w:val="24"/>
        </w:rPr>
        <w:t>函，且保函有效期(即到期时间)必须为项目验收合格后再延长6个月。</w:t>
      </w:r>
    </w:p>
    <w:p>
      <w:pPr>
        <w:pStyle w:val="17"/>
        <w:numPr>
          <w:ilvl w:val="255"/>
          <w:numId w:val="0"/>
        </w:numPr>
        <w:spacing w:before="0" w:beforeAutospacing="0" w:after="0" w:afterAutospacing="0" w:line="500" w:lineRule="exact"/>
        <w:ind w:firstLine="482" w:firstLineChars="200"/>
        <w:rPr>
          <w:rFonts w:ascii="宋体" w:hAnsi="宋体" w:eastAsia="宋体" w:cs="宋体"/>
          <w:color w:val="auto"/>
          <w:sz w:val="24"/>
          <w:szCs w:val="24"/>
        </w:rPr>
      </w:pPr>
      <w:r>
        <w:rPr>
          <w:rStyle w:val="21"/>
          <w:rFonts w:hint="eastAsia"/>
          <w:bCs w:val="0"/>
          <w:color w:val="auto"/>
        </w:rPr>
        <w:t>5.付款方式：</w:t>
      </w:r>
      <w:r>
        <w:rPr>
          <w:rFonts w:ascii="宋体" w:hAnsi="宋体" w:eastAsia="宋体" w:cs="宋体"/>
          <w:color w:val="auto"/>
          <w:sz w:val="24"/>
          <w:szCs w:val="24"/>
        </w:rPr>
        <w:t>在货物安装调试完毕、按合同要求验收合格后，在1个月内不存在质量问题的前提下，一次性支付合同总额的100%。（成交人须提供全额发票，若采购的产品为国产设备的，一般纳税人须开具增值税专用发票，小规模纳税人不能开具增值税专用发票的需提供相关证明材料，温馨提醒：专用设备发票报销期限原则上为发票开具之日起至次年3月31日止）。考虑到贴息贷款程序上的因素，具体付款方式可视情况经双方协商后在采购合同里体现。</w:t>
      </w:r>
    </w:p>
    <w:p>
      <w:pPr>
        <w:pStyle w:val="17"/>
        <w:numPr>
          <w:ilvl w:val="255"/>
          <w:numId w:val="0"/>
        </w:numPr>
        <w:spacing w:before="0" w:beforeAutospacing="0" w:after="0" w:afterAutospacing="0" w:line="500" w:lineRule="exact"/>
        <w:ind w:firstLine="482" w:firstLineChars="200"/>
        <w:rPr>
          <w:rStyle w:val="21"/>
          <w:bCs w:val="0"/>
          <w:color w:val="auto"/>
        </w:rPr>
      </w:pPr>
      <w:r>
        <w:rPr>
          <w:rStyle w:val="21"/>
          <w:rFonts w:hint="eastAsia"/>
          <w:bCs w:val="0"/>
          <w:color w:val="auto"/>
        </w:rPr>
        <w:t>6.售后服务要求：</w:t>
      </w:r>
    </w:p>
    <w:p>
      <w:pPr>
        <w:pStyle w:val="17"/>
        <w:spacing w:before="0" w:beforeAutospacing="0" w:after="0" w:afterAutospacing="0" w:line="500" w:lineRule="exact"/>
        <w:ind w:firstLine="480" w:firstLineChars="200"/>
        <w:rPr>
          <w:rStyle w:val="21"/>
          <w:b w:val="0"/>
          <w:color w:val="auto"/>
        </w:rPr>
      </w:pPr>
      <w:r>
        <w:rPr>
          <w:rFonts w:hint="eastAsia"/>
          <w:color w:val="auto"/>
        </w:rPr>
        <w:t>（1）</w:t>
      </w:r>
      <w:r>
        <w:rPr>
          <w:rStyle w:val="21"/>
          <w:rFonts w:hint="eastAsia"/>
          <w:b w:val="0"/>
          <w:color w:val="auto"/>
        </w:rPr>
        <w:t>成交人负责产品的安装、调试，以及免费对采购人操作人员进行培训，直至有关人员熟练掌握后，交付采购人使用。培训内容应包括项目涉及的所有产品、以及有关产品安装、维护、保养、等方面。</w:t>
      </w:r>
    </w:p>
    <w:p>
      <w:pPr>
        <w:pStyle w:val="17"/>
        <w:spacing w:before="0" w:beforeAutospacing="0" w:after="0" w:afterAutospacing="0" w:line="500" w:lineRule="exact"/>
        <w:ind w:firstLine="480" w:firstLineChars="200"/>
        <w:rPr>
          <w:rStyle w:val="21"/>
          <w:b w:val="0"/>
          <w:color w:val="auto"/>
        </w:rPr>
      </w:pPr>
      <w:r>
        <w:rPr>
          <w:rFonts w:hint="eastAsia"/>
          <w:color w:val="auto"/>
        </w:rPr>
        <w:t>（2）</w:t>
      </w:r>
      <w:r>
        <w:rPr>
          <w:rFonts w:hint="eastAsia"/>
          <w:b/>
          <w:bCs/>
          <w:color w:val="auto"/>
        </w:rPr>
        <w:t>维保期：</w:t>
      </w:r>
      <w:r>
        <w:rPr>
          <w:rStyle w:val="21"/>
          <w:rFonts w:hint="eastAsia"/>
          <w:bCs w:val="0"/>
          <w:color w:val="auto"/>
        </w:rPr>
        <w:t>所投设备自验收日起维保五年，同时成交人还须提供现有LED屏幕（唯真视界/WZ P2.0室内全彩色LED显示屏）质保期（一年）结束后4年的维保工作，维保工作包括提供免费现场上门保修服务及维保工作期内发生的一切费用由成交人负责，并包含在本项目投标总价内。</w:t>
      </w:r>
      <w:r>
        <w:rPr>
          <w:rStyle w:val="21"/>
          <w:rFonts w:hint="eastAsia"/>
          <w:b w:val="0"/>
          <w:color w:val="auto"/>
        </w:rPr>
        <w:t>维保期内免费更换非人为损坏配件和免费维修，维保期后终生免费维护（仅收必要的材料费）。</w:t>
      </w:r>
    </w:p>
    <w:p>
      <w:pPr>
        <w:pStyle w:val="17"/>
        <w:spacing w:before="0" w:beforeAutospacing="0" w:after="0" w:afterAutospacing="0" w:line="500" w:lineRule="exact"/>
        <w:ind w:firstLine="480" w:firstLineChars="200"/>
        <w:rPr>
          <w:rStyle w:val="21"/>
          <w:b w:val="0"/>
          <w:color w:val="auto"/>
        </w:rPr>
      </w:pPr>
      <w:r>
        <w:rPr>
          <w:rFonts w:hint="eastAsia"/>
          <w:color w:val="auto"/>
        </w:rPr>
        <w:t>（3）</w:t>
      </w:r>
      <w:r>
        <w:rPr>
          <w:rStyle w:val="21"/>
          <w:rFonts w:hint="eastAsia"/>
          <w:b w:val="0"/>
          <w:color w:val="auto"/>
        </w:rPr>
        <w:t>在本项目维保期内，维保设备如岀现故障时，成交人在接到釆购人故障通知后5小时内响应，需要现场处理的需在24小时内上门服务。若以上情况成交人无法按时响应处理,采购人可另行安排人员搬运、安装及维修,由此产生的一切费用由成交人支付。质保期外，按成本价提供配件及服务。</w:t>
      </w:r>
    </w:p>
    <w:p>
      <w:pPr>
        <w:widowControl/>
        <w:tabs>
          <w:tab w:val="left" w:pos="900"/>
          <w:tab w:val="left" w:pos="1100"/>
        </w:tabs>
        <w:spacing w:line="500" w:lineRule="exact"/>
        <w:ind w:firstLine="482" w:firstLineChars="200"/>
        <w:jc w:val="left"/>
        <w:textAlignment w:val="baseline"/>
        <w:rPr>
          <w:rFonts w:ascii="宋体" w:hAnsi="宋体" w:cs="宋体"/>
          <w:b/>
          <w:bCs/>
          <w:sz w:val="24"/>
        </w:rPr>
      </w:pPr>
      <w:r>
        <w:rPr>
          <w:rFonts w:hint="eastAsia" w:ascii="宋体" w:hAnsi="宋体" w:cs="宋体"/>
          <w:b/>
          <w:bCs/>
          <w:sz w:val="24"/>
        </w:rPr>
        <w:t>7.违约责任</w:t>
      </w:r>
    </w:p>
    <w:p>
      <w:pPr>
        <w:pStyle w:val="17"/>
        <w:spacing w:before="0" w:beforeAutospacing="0" w:after="0" w:afterAutospacing="0" w:line="500" w:lineRule="exact"/>
        <w:ind w:firstLine="480"/>
      </w:pPr>
      <w:r>
        <w:rPr>
          <w:rFonts w:hint="eastAsia"/>
        </w:rPr>
        <w:t>（1）成交人按合同清单上的货物运达指定地点并安装调试完成后，采购人应严格按照竞价文件要求在双方约定的时间内进行验收，采购人无正当理由不得无故拖延验收时间。</w:t>
      </w:r>
    </w:p>
    <w:p>
      <w:pPr>
        <w:pStyle w:val="17"/>
        <w:spacing w:before="0" w:beforeAutospacing="0" w:after="0" w:afterAutospacing="0" w:line="500" w:lineRule="exact"/>
        <w:ind w:firstLine="480" w:firstLineChars="200"/>
      </w:pPr>
      <w:r>
        <w:rPr>
          <w:rFonts w:hint="eastAsia"/>
        </w:rPr>
        <w:t>（2）成交人所交货物不符合本文件合同要求的，采购人有权拒收并要求成交人更换货物直到符合竞价要求；若成交人无法交付符合竞价要求的货物采购人有权没收其履约保证金。</w:t>
      </w:r>
    </w:p>
    <w:p>
      <w:pPr>
        <w:pStyle w:val="17"/>
        <w:spacing w:before="0" w:beforeAutospacing="0" w:after="0" w:afterAutospacing="0" w:line="500" w:lineRule="exact"/>
        <w:ind w:firstLine="480" w:firstLineChars="200"/>
      </w:pPr>
      <w:r>
        <w:rPr>
          <w:rFonts w:hint="eastAsia"/>
        </w:rPr>
        <w:t>（3）成交人不能交付货物的，采购人没收其履约保证金。</w:t>
      </w:r>
    </w:p>
    <w:p>
      <w:pPr>
        <w:pStyle w:val="17"/>
        <w:spacing w:before="0" w:beforeAutospacing="0" w:after="0" w:afterAutospacing="0" w:line="500" w:lineRule="exact"/>
        <w:ind w:firstLine="480" w:firstLineChars="200"/>
        <w:rPr>
          <w:rStyle w:val="21"/>
          <w:highlight w:val="yellow"/>
        </w:rPr>
      </w:pPr>
      <w:r>
        <w:rPr>
          <w:rFonts w:hint="eastAsia"/>
        </w:rPr>
        <w:t>（4）成交人逾期交付货物，成交人应向采购人每日偿付货款5‰的违约金。</w:t>
      </w:r>
    </w:p>
    <w:p>
      <w:pPr>
        <w:pStyle w:val="17"/>
        <w:spacing w:before="0" w:beforeAutospacing="0" w:after="0" w:afterAutospacing="0" w:line="500" w:lineRule="exact"/>
        <w:ind w:firstLine="482" w:firstLineChars="200"/>
        <w:rPr>
          <w:b/>
          <w:bCs/>
          <w:lang w:val="zh-TW"/>
        </w:rPr>
      </w:pPr>
      <w:r>
        <w:rPr>
          <w:rStyle w:val="21"/>
          <w:rFonts w:hint="eastAsia"/>
        </w:rPr>
        <w:t>8.</w:t>
      </w:r>
      <w:r>
        <w:rPr>
          <w:rFonts w:hint="eastAsia"/>
          <w:b/>
          <w:bCs/>
          <w:lang w:val="zh-TW"/>
        </w:rPr>
        <w:t>不可抗力</w:t>
      </w:r>
    </w:p>
    <w:p>
      <w:pPr>
        <w:pStyle w:val="17"/>
        <w:spacing w:before="0" w:beforeAutospacing="0" w:after="0" w:afterAutospacing="0" w:line="500" w:lineRule="exact"/>
        <w:ind w:firstLine="480" w:firstLineChars="200"/>
        <w:rPr>
          <w:lang w:val="zh-TW"/>
        </w:rPr>
      </w:pPr>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500" w:lineRule="exact"/>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bookmarkEnd w:id="6"/>
    <w:bookmarkEnd w:id="7"/>
    <w:bookmarkEnd w:id="8"/>
    <w:bookmarkEnd w:id="9"/>
    <w:p>
      <w:pPr>
        <w:snapToGrid w:val="0"/>
        <w:spacing w:line="500" w:lineRule="exact"/>
        <w:ind w:firstLine="482" w:firstLineChars="200"/>
        <w:jc w:val="left"/>
        <w:rPr>
          <w:rFonts w:ascii="宋体" w:hAnsi="宋体" w:cs="宋体"/>
          <w:b/>
          <w:bCs/>
          <w:sz w:val="24"/>
          <w:u w:val="single"/>
        </w:rPr>
      </w:pPr>
      <w:r>
        <w:rPr>
          <w:rFonts w:hint="eastAsia" w:ascii="宋体" w:hAnsi="宋体" w:cs="宋体"/>
          <w:b/>
          <w:bCs/>
          <w:sz w:val="24"/>
          <w:u w:val="single"/>
        </w:rPr>
        <w:t>★</w:t>
      </w:r>
      <w:r>
        <w:rPr>
          <w:rFonts w:hint="eastAsia" w:ascii="宋体" w:hAnsi="宋体" w:cs="宋体"/>
          <w:b/>
          <w:bCs/>
          <w:sz w:val="24"/>
          <w:u w:val="single"/>
          <w:lang w:val="en-US" w:eastAsia="zh-CN"/>
        </w:rPr>
        <w:t>9</w:t>
      </w:r>
      <w:r>
        <w:rPr>
          <w:rFonts w:hint="eastAsia" w:ascii="宋体" w:hAnsi="宋体" w:cs="宋体"/>
          <w:b/>
          <w:bCs/>
          <w:sz w:val="24"/>
          <w:u w:val="single"/>
        </w:rPr>
        <w:t>、竞价人一经提交响应文件并被采购人确定为成交人，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p>
    <w:p>
      <w:pPr>
        <w:pStyle w:val="4"/>
        <w:spacing w:line="500" w:lineRule="exact"/>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pStyle w:val="4"/>
        <w:rPr>
          <w:rFonts w:ascii="宋体" w:hAnsi="宋体" w:cs="宋体"/>
          <w:b/>
          <w:bCs/>
          <w:sz w:val="24"/>
          <w:u w:val="single"/>
        </w:rPr>
      </w:pPr>
    </w:p>
    <w:p>
      <w:pPr>
        <w:numPr>
          <w:ilvl w:val="0"/>
          <w:numId w:val="1"/>
        </w:numPr>
        <w:autoSpaceDN w:val="0"/>
        <w:spacing w:line="360" w:lineRule="auto"/>
        <w:jc w:val="center"/>
        <w:outlineLvl w:val="0"/>
        <w:rPr>
          <w:rStyle w:val="21"/>
          <w:rFonts w:ascii="宋体" w:hAnsi="宋体"/>
          <w:sz w:val="36"/>
          <w:szCs w:val="36"/>
        </w:rPr>
      </w:pPr>
      <w:bookmarkStart w:id="10" w:name="_Toc15556"/>
      <w:bookmarkStart w:id="11" w:name="_Toc20788"/>
      <w:r>
        <w:rPr>
          <w:rStyle w:val="21"/>
          <w:rFonts w:hint="eastAsia" w:ascii="宋体" w:hAnsi="宋体"/>
          <w:sz w:val="36"/>
          <w:szCs w:val="36"/>
        </w:rPr>
        <w:t>福建农林大学网上竞价</w:t>
      </w:r>
      <w:r>
        <w:rPr>
          <w:rStyle w:val="21"/>
          <w:rFonts w:ascii="宋体" w:hAnsi="宋体"/>
          <w:sz w:val="36"/>
          <w:szCs w:val="36"/>
        </w:rPr>
        <w:t>采购合同</w:t>
      </w:r>
      <w:bookmarkEnd w:id="10"/>
      <w:bookmarkEnd w:id="11"/>
    </w:p>
    <w:p>
      <w:pPr>
        <w:pStyle w:val="17"/>
        <w:spacing w:before="75" w:after="75" w:line="360" w:lineRule="auto"/>
        <w:jc w:val="center"/>
        <w:rPr>
          <w:rStyle w:val="21"/>
        </w:rPr>
      </w:pPr>
      <w:r>
        <w:rPr>
          <w:rStyle w:val="21"/>
        </w:rPr>
        <w:t xml:space="preserve">编制说明 </w:t>
      </w:r>
    </w:p>
    <w:p>
      <w:pPr>
        <w:pStyle w:val="17"/>
        <w:spacing w:before="75" w:after="75" w:line="360" w:lineRule="auto"/>
        <w:rPr>
          <w:rStyle w:val="21"/>
        </w:rPr>
      </w:pPr>
      <w:r>
        <w:rPr>
          <w:rStyle w:val="21"/>
        </w:rPr>
        <w:t xml:space="preserve">1、签订合同应遵守《中华人民共和国政府采购法》、《中华人民共和国民法典》。 </w:t>
      </w:r>
    </w:p>
    <w:p>
      <w:pPr>
        <w:pStyle w:val="17"/>
        <w:spacing w:before="75" w:after="75" w:line="360" w:lineRule="auto"/>
        <w:rPr>
          <w:rStyle w:val="21"/>
        </w:rPr>
      </w:pPr>
      <w:r>
        <w:rPr>
          <w:rStyle w:val="21"/>
        </w:rPr>
        <w:t>2、签订合同时，采购人与中标人应结合</w:t>
      </w:r>
      <w:r>
        <w:rPr>
          <w:rStyle w:val="21"/>
          <w:rFonts w:hint="eastAsia"/>
          <w:lang w:eastAsia="zh-CN"/>
        </w:rPr>
        <w:t>竞价文件</w:t>
      </w:r>
      <w:r>
        <w:rPr>
          <w:rStyle w:val="21"/>
        </w:rPr>
        <w:t>规定填列相应内容。</w:t>
      </w:r>
      <w:r>
        <w:rPr>
          <w:rStyle w:val="21"/>
          <w:rFonts w:hint="eastAsia"/>
          <w:lang w:eastAsia="zh-CN"/>
        </w:rPr>
        <w:t>竞价文件</w:t>
      </w:r>
      <w:r>
        <w:rPr>
          <w:rStyle w:val="21"/>
        </w:rPr>
        <w:t>已有规定的，双方均不得对规定进行变更或调整；</w:t>
      </w:r>
      <w:r>
        <w:rPr>
          <w:rStyle w:val="21"/>
          <w:rFonts w:hint="eastAsia"/>
          <w:lang w:eastAsia="zh-CN"/>
        </w:rPr>
        <w:t>竞价文件</w:t>
      </w:r>
      <w:r>
        <w:rPr>
          <w:rStyle w:val="21"/>
        </w:rPr>
        <w:t>未作规定</w:t>
      </w:r>
      <w:r>
        <w:rPr>
          <w:rStyle w:val="21"/>
          <w:rFonts w:hint="eastAsia"/>
          <w:lang w:eastAsia="zh-CN"/>
        </w:rPr>
        <w:t>或规定双方可视情况协商</w:t>
      </w:r>
      <w:r>
        <w:rPr>
          <w:rStyle w:val="21"/>
        </w:rPr>
        <w:t>的，双方可通过友好协商</w:t>
      </w:r>
      <w:r>
        <w:rPr>
          <w:rStyle w:val="21"/>
          <w:rFonts w:hint="eastAsia"/>
          <w:lang w:eastAsia="zh-CN"/>
        </w:rPr>
        <w:t>在本合同中</w:t>
      </w:r>
      <w:r>
        <w:rPr>
          <w:rStyle w:val="21"/>
        </w:rPr>
        <w:t xml:space="preserve">进行约定。 </w:t>
      </w:r>
    </w:p>
    <w:p>
      <w:pPr>
        <w:pStyle w:val="17"/>
        <w:spacing w:before="75" w:after="75" w:line="360" w:lineRule="auto"/>
        <w:rPr>
          <w:rStyle w:val="21"/>
        </w:rPr>
      </w:pPr>
      <w:r>
        <w:rPr>
          <w:rStyle w:val="21"/>
        </w:rPr>
        <w:t>甲方：福建</w:t>
      </w:r>
      <w:r>
        <w:rPr>
          <w:rStyle w:val="21"/>
          <w:rFonts w:hint="eastAsia"/>
        </w:rPr>
        <w:t>农林</w:t>
      </w:r>
      <w:r>
        <w:rPr>
          <w:rStyle w:val="21"/>
        </w:rPr>
        <w:t xml:space="preserve">大学 </w:t>
      </w:r>
    </w:p>
    <w:p>
      <w:pPr>
        <w:pStyle w:val="17"/>
        <w:spacing w:before="75" w:after="75" w:line="360" w:lineRule="auto"/>
        <w:rPr>
          <w:rStyle w:val="21"/>
        </w:rPr>
      </w:pPr>
      <w:r>
        <w:rPr>
          <w:rStyle w:val="21"/>
        </w:rPr>
        <w:t xml:space="preserve">乙方： </w:t>
      </w:r>
    </w:p>
    <w:p>
      <w:pPr>
        <w:pStyle w:val="17"/>
        <w:spacing w:before="75" w:after="75" w:line="360" w:lineRule="auto"/>
        <w:ind w:firstLine="480" w:firstLineChars="200"/>
      </w:pPr>
      <w:r>
        <w:t>根据招标编号为</w:t>
      </w:r>
      <w:r>
        <w:rPr>
          <w:rFonts w:hint="eastAsia"/>
          <w:lang w:eastAsia="zh-CN"/>
        </w:rPr>
        <w:t>：</w:t>
      </w:r>
      <w:r>
        <w:rPr>
          <w:rFonts w:hint="eastAsia"/>
          <w:lang w:val="en-US" w:eastAsia="zh-CN"/>
        </w:rPr>
        <w:t xml:space="preserve">    </w:t>
      </w:r>
      <w:r>
        <w:t>的项目（以下简称：“本项目”）的</w:t>
      </w:r>
      <w:r>
        <w:rPr>
          <w:rFonts w:hint="eastAsia"/>
          <w:lang w:eastAsia="zh-CN"/>
        </w:rPr>
        <w:t>竞价</w:t>
      </w:r>
      <w:r>
        <w:t>结果，乙方为</w:t>
      </w:r>
      <w:r>
        <w:rPr>
          <w:rFonts w:hint="eastAsia"/>
          <w:lang w:eastAsia="zh-CN"/>
        </w:rPr>
        <w:t>成交</w:t>
      </w:r>
      <w:r>
        <w:t xml:space="preserve">人。现经甲乙双方友好协商，就以下事项达成一致并签订本合同： </w:t>
      </w:r>
    </w:p>
    <w:p>
      <w:pPr>
        <w:pStyle w:val="17"/>
        <w:spacing w:before="75" w:after="75" w:line="360" w:lineRule="auto"/>
        <w:ind w:firstLine="480" w:firstLineChars="200"/>
      </w:pPr>
      <w:r>
        <w:t xml:space="preserve">1、下列合同文件是构成本合同不可分割的部分： </w:t>
      </w:r>
    </w:p>
    <w:p>
      <w:pPr>
        <w:pStyle w:val="17"/>
        <w:spacing w:before="75" w:after="75" w:line="360" w:lineRule="auto"/>
        <w:ind w:firstLine="480" w:firstLineChars="200"/>
      </w:pPr>
      <w:r>
        <w:t xml:space="preserve">1.1合同条款； </w:t>
      </w:r>
    </w:p>
    <w:p>
      <w:pPr>
        <w:pStyle w:val="17"/>
        <w:spacing w:before="75" w:after="75" w:line="360" w:lineRule="auto"/>
        <w:ind w:firstLine="480" w:firstLineChars="200"/>
      </w:pPr>
      <w:r>
        <w:t>1.2招标文件、乙方的投标文件；</w:t>
      </w:r>
    </w:p>
    <w:p>
      <w:pPr>
        <w:pStyle w:val="17"/>
        <w:spacing w:before="75" w:after="75" w:line="360" w:lineRule="auto"/>
        <w:ind w:firstLine="480" w:firstLineChars="200"/>
      </w:pPr>
      <w:r>
        <w:t>1.3其他文件或材料：□无。□（</w:t>
      </w:r>
      <w:r>
        <w:rPr>
          <w:u w:val="single"/>
        </w:rPr>
        <w:t>若有联合协议或分包意向协议</w:t>
      </w:r>
      <w:r>
        <w:t>）无。</w:t>
      </w:r>
    </w:p>
    <w:p>
      <w:pPr>
        <w:pStyle w:val="17"/>
        <w:spacing w:before="75" w:after="75" w:line="360" w:lineRule="auto"/>
        <w:ind w:firstLine="480" w:firstLineChars="200"/>
      </w:pPr>
      <w:r>
        <w:t xml:space="preserve"> 2、合同标的</w:t>
      </w:r>
    </w:p>
    <w:p>
      <w:pPr>
        <w:pStyle w:val="17"/>
        <w:spacing w:before="75" w:after="75" w:line="360" w:lineRule="auto"/>
        <w:ind w:firstLine="480"/>
      </w:pPr>
      <w:r>
        <w:rPr>
          <w:rFonts w:hint="eastAsia"/>
        </w:rPr>
        <w:t>货物类</w:t>
      </w:r>
    </w:p>
    <w:tbl>
      <w:tblPr>
        <w:tblStyle w:val="1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4"/>
        <w:gridCol w:w="1041"/>
        <w:gridCol w:w="745"/>
        <w:gridCol w:w="894"/>
        <w:gridCol w:w="916"/>
        <w:gridCol w:w="939"/>
        <w:gridCol w:w="892"/>
        <w:gridCol w:w="894"/>
        <w:gridCol w:w="916"/>
        <w:gridCol w:w="894"/>
        <w:gridCol w:w="8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 w:type="dxa"/>
          </w:tcPr>
          <w:p>
            <w:pPr>
              <w:pStyle w:val="17"/>
              <w:spacing w:before="75" w:after="75" w:line="360" w:lineRule="auto"/>
              <w:jc w:val="center"/>
              <w:rPr>
                <w:sz w:val="18"/>
                <w:szCs w:val="18"/>
              </w:rPr>
            </w:pPr>
            <w:r>
              <w:rPr>
                <w:rFonts w:hint="eastAsia"/>
                <w:sz w:val="18"/>
                <w:szCs w:val="18"/>
              </w:rPr>
              <w:t>品目号</w:t>
            </w:r>
          </w:p>
        </w:tc>
        <w:tc>
          <w:tcPr>
            <w:tcW w:w="1131" w:type="dxa"/>
          </w:tcPr>
          <w:p>
            <w:pPr>
              <w:pStyle w:val="17"/>
              <w:spacing w:before="75" w:after="75" w:line="360" w:lineRule="auto"/>
              <w:jc w:val="center"/>
              <w:rPr>
                <w:sz w:val="18"/>
                <w:szCs w:val="18"/>
              </w:rPr>
            </w:pPr>
            <w:r>
              <w:rPr>
                <w:rFonts w:hint="eastAsia"/>
                <w:sz w:val="18"/>
                <w:szCs w:val="18"/>
              </w:rPr>
              <w:t>品目编号及品目名称</w:t>
            </w:r>
          </w:p>
        </w:tc>
        <w:tc>
          <w:tcPr>
            <w:tcW w:w="794" w:type="dxa"/>
          </w:tcPr>
          <w:p>
            <w:pPr>
              <w:pStyle w:val="17"/>
              <w:spacing w:before="75" w:after="75" w:line="360" w:lineRule="auto"/>
              <w:jc w:val="center"/>
              <w:rPr>
                <w:sz w:val="18"/>
                <w:szCs w:val="18"/>
              </w:rPr>
            </w:pPr>
            <w:r>
              <w:rPr>
                <w:rFonts w:hint="eastAsia"/>
                <w:sz w:val="18"/>
                <w:szCs w:val="18"/>
              </w:rPr>
              <w:t>采购标的</w:t>
            </w:r>
          </w:p>
        </w:tc>
        <w:tc>
          <w:tcPr>
            <w:tcW w:w="963" w:type="dxa"/>
          </w:tcPr>
          <w:p>
            <w:pPr>
              <w:pStyle w:val="17"/>
              <w:spacing w:before="75" w:after="75" w:line="360" w:lineRule="auto"/>
              <w:jc w:val="center"/>
              <w:rPr>
                <w:sz w:val="18"/>
                <w:szCs w:val="18"/>
              </w:rPr>
            </w:pPr>
            <w:r>
              <w:rPr>
                <w:rFonts w:hint="eastAsia"/>
                <w:sz w:val="18"/>
                <w:szCs w:val="18"/>
              </w:rPr>
              <w:t>品牌</w:t>
            </w:r>
          </w:p>
        </w:tc>
        <w:tc>
          <w:tcPr>
            <w:tcW w:w="963" w:type="dxa"/>
          </w:tcPr>
          <w:p>
            <w:pPr>
              <w:pStyle w:val="17"/>
              <w:spacing w:before="75" w:after="75" w:line="360" w:lineRule="auto"/>
              <w:jc w:val="center"/>
              <w:rPr>
                <w:sz w:val="18"/>
                <w:szCs w:val="18"/>
              </w:rPr>
            </w:pPr>
            <w:r>
              <w:rPr>
                <w:rFonts w:hint="eastAsia"/>
                <w:sz w:val="18"/>
                <w:szCs w:val="18"/>
              </w:rPr>
              <w:t>数量</w:t>
            </w:r>
            <w:r>
              <w:rPr>
                <w:rFonts w:hint="eastAsia"/>
                <w:sz w:val="18"/>
                <w:szCs w:val="18"/>
              </w:rPr>
              <w:br w:type="textWrapping"/>
            </w:r>
            <w:r>
              <w:rPr>
                <w:rFonts w:hint="eastAsia"/>
                <w:sz w:val="18"/>
                <w:szCs w:val="18"/>
              </w:rPr>
              <w:t>（单位）</w:t>
            </w:r>
          </w:p>
        </w:tc>
        <w:tc>
          <w:tcPr>
            <w:tcW w:w="965" w:type="dxa"/>
          </w:tcPr>
          <w:p>
            <w:pPr>
              <w:pStyle w:val="17"/>
              <w:spacing w:before="75" w:after="75" w:line="360" w:lineRule="auto"/>
              <w:jc w:val="center"/>
              <w:rPr>
                <w:sz w:val="18"/>
                <w:szCs w:val="18"/>
              </w:rPr>
            </w:pPr>
            <w:r>
              <w:rPr>
                <w:rFonts w:hint="eastAsia"/>
                <w:sz w:val="18"/>
                <w:szCs w:val="18"/>
              </w:rPr>
              <w:t>单价（元）</w:t>
            </w:r>
          </w:p>
        </w:tc>
        <w:tc>
          <w:tcPr>
            <w:tcW w:w="961" w:type="dxa"/>
          </w:tcPr>
          <w:p>
            <w:pPr>
              <w:pStyle w:val="17"/>
              <w:spacing w:before="75" w:after="75" w:line="360" w:lineRule="auto"/>
              <w:jc w:val="center"/>
              <w:rPr>
                <w:sz w:val="18"/>
                <w:szCs w:val="18"/>
              </w:rPr>
            </w:pPr>
            <w:r>
              <w:rPr>
                <w:rFonts w:hint="eastAsia"/>
                <w:sz w:val="18"/>
                <w:szCs w:val="18"/>
              </w:rPr>
              <w:t>金额</w:t>
            </w:r>
          </w:p>
        </w:tc>
        <w:tc>
          <w:tcPr>
            <w:tcW w:w="963" w:type="dxa"/>
          </w:tcPr>
          <w:p>
            <w:pPr>
              <w:pStyle w:val="17"/>
              <w:spacing w:before="75" w:after="75" w:line="360" w:lineRule="auto"/>
              <w:jc w:val="center"/>
              <w:rPr>
                <w:sz w:val="18"/>
                <w:szCs w:val="18"/>
              </w:rPr>
            </w:pPr>
            <w:r>
              <w:rPr>
                <w:rFonts w:hint="eastAsia"/>
                <w:sz w:val="18"/>
                <w:szCs w:val="18"/>
              </w:rPr>
              <w:t>产地</w:t>
            </w:r>
            <w:r>
              <w:rPr>
                <w:rFonts w:hint="eastAsia"/>
                <w:sz w:val="18"/>
                <w:szCs w:val="18"/>
              </w:rPr>
              <w:br w:type="textWrapping"/>
            </w:r>
            <w:r>
              <w:rPr>
                <w:rFonts w:hint="eastAsia"/>
                <w:sz w:val="18"/>
                <w:szCs w:val="18"/>
              </w:rPr>
              <w:t>类型</w:t>
            </w:r>
          </w:p>
        </w:tc>
        <w:tc>
          <w:tcPr>
            <w:tcW w:w="963" w:type="dxa"/>
          </w:tcPr>
          <w:p>
            <w:pPr>
              <w:pStyle w:val="17"/>
              <w:spacing w:before="75" w:after="75" w:line="360" w:lineRule="auto"/>
              <w:jc w:val="center"/>
              <w:rPr>
                <w:sz w:val="18"/>
                <w:szCs w:val="18"/>
              </w:rPr>
            </w:pPr>
            <w:r>
              <w:rPr>
                <w:rFonts w:hint="eastAsia"/>
                <w:sz w:val="18"/>
                <w:szCs w:val="18"/>
              </w:rPr>
              <w:t>国别（地区）</w:t>
            </w:r>
          </w:p>
        </w:tc>
        <w:tc>
          <w:tcPr>
            <w:tcW w:w="963" w:type="dxa"/>
          </w:tcPr>
          <w:p>
            <w:pPr>
              <w:pStyle w:val="17"/>
              <w:spacing w:before="75" w:after="75" w:line="360" w:lineRule="auto"/>
              <w:jc w:val="center"/>
              <w:rPr>
                <w:sz w:val="18"/>
                <w:szCs w:val="18"/>
              </w:rPr>
            </w:pPr>
            <w:r>
              <w:rPr>
                <w:rFonts w:hint="eastAsia"/>
                <w:sz w:val="18"/>
                <w:szCs w:val="18"/>
              </w:rPr>
              <w:t>规格型号</w:t>
            </w:r>
          </w:p>
        </w:tc>
        <w:tc>
          <w:tcPr>
            <w:tcW w:w="963" w:type="dxa"/>
          </w:tcPr>
          <w:p>
            <w:pPr>
              <w:pStyle w:val="17"/>
              <w:spacing w:before="75" w:after="75" w:line="360" w:lineRule="auto"/>
              <w:jc w:val="center"/>
              <w:rPr>
                <w:sz w:val="18"/>
                <w:szCs w:val="18"/>
              </w:rPr>
            </w:pPr>
            <w:r>
              <w:rPr>
                <w:rFonts w:hint="eastAsia"/>
                <w:sz w:val="18"/>
                <w:szCs w:val="18"/>
              </w:rPr>
              <w:t>产品属性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 w:type="dxa"/>
          </w:tcPr>
          <w:p>
            <w:pPr>
              <w:pStyle w:val="17"/>
              <w:spacing w:before="75" w:after="75" w:line="360" w:lineRule="auto"/>
            </w:pPr>
            <w:r>
              <w:rPr>
                <w:rFonts w:hint="eastAsia"/>
              </w:rPr>
              <w:t>1-1</w:t>
            </w:r>
          </w:p>
        </w:tc>
        <w:tc>
          <w:tcPr>
            <w:tcW w:w="1131" w:type="dxa"/>
          </w:tcPr>
          <w:p>
            <w:pPr>
              <w:pStyle w:val="17"/>
              <w:spacing w:before="75" w:after="75" w:line="360" w:lineRule="auto"/>
            </w:pPr>
          </w:p>
        </w:tc>
        <w:tc>
          <w:tcPr>
            <w:tcW w:w="794" w:type="dxa"/>
          </w:tcPr>
          <w:p>
            <w:pPr>
              <w:pStyle w:val="17"/>
              <w:spacing w:before="75" w:after="75" w:line="360" w:lineRule="auto"/>
            </w:pPr>
          </w:p>
        </w:tc>
        <w:tc>
          <w:tcPr>
            <w:tcW w:w="963" w:type="dxa"/>
          </w:tcPr>
          <w:p>
            <w:pPr>
              <w:pStyle w:val="17"/>
              <w:spacing w:before="75" w:after="75" w:line="360" w:lineRule="auto"/>
            </w:pPr>
          </w:p>
        </w:tc>
        <w:tc>
          <w:tcPr>
            <w:tcW w:w="963" w:type="dxa"/>
          </w:tcPr>
          <w:p>
            <w:pPr>
              <w:pStyle w:val="17"/>
              <w:spacing w:before="75" w:after="75" w:line="360" w:lineRule="auto"/>
            </w:pPr>
          </w:p>
        </w:tc>
        <w:tc>
          <w:tcPr>
            <w:tcW w:w="965" w:type="dxa"/>
          </w:tcPr>
          <w:p>
            <w:pPr>
              <w:pStyle w:val="17"/>
              <w:spacing w:before="75" w:after="75" w:line="360" w:lineRule="auto"/>
            </w:pPr>
          </w:p>
        </w:tc>
        <w:tc>
          <w:tcPr>
            <w:tcW w:w="961" w:type="dxa"/>
          </w:tcPr>
          <w:p>
            <w:pPr>
              <w:pStyle w:val="17"/>
              <w:spacing w:before="75" w:after="75" w:line="360" w:lineRule="auto"/>
            </w:pPr>
          </w:p>
        </w:tc>
        <w:tc>
          <w:tcPr>
            <w:tcW w:w="963" w:type="dxa"/>
          </w:tcPr>
          <w:p>
            <w:pPr>
              <w:pStyle w:val="17"/>
              <w:spacing w:before="75" w:after="75" w:line="360" w:lineRule="auto"/>
            </w:pPr>
          </w:p>
        </w:tc>
        <w:tc>
          <w:tcPr>
            <w:tcW w:w="963" w:type="dxa"/>
          </w:tcPr>
          <w:p>
            <w:pPr>
              <w:pStyle w:val="17"/>
              <w:spacing w:before="75" w:after="75" w:line="360" w:lineRule="auto"/>
            </w:pPr>
          </w:p>
        </w:tc>
        <w:tc>
          <w:tcPr>
            <w:tcW w:w="963" w:type="dxa"/>
          </w:tcPr>
          <w:p>
            <w:pPr>
              <w:pStyle w:val="17"/>
              <w:spacing w:before="75" w:after="75" w:line="360" w:lineRule="auto"/>
            </w:pPr>
          </w:p>
        </w:tc>
        <w:tc>
          <w:tcPr>
            <w:tcW w:w="963" w:type="dxa"/>
          </w:tcPr>
          <w:p>
            <w:pPr>
              <w:pStyle w:val="17"/>
              <w:spacing w:before="75" w:after="75" w:line="360" w:lineRule="auto"/>
            </w:pPr>
          </w:p>
        </w:tc>
      </w:tr>
    </w:tbl>
    <w:p>
      <w:pPr>
        <w:pStyle w:val="17"/>
        <w:spacing w:before="75" w:after="75" w:line="360" w:lineRule="auto"/>
        <w:ind w:firstLine="480"/>
      </w:pPr>
      <w:r>
        <w:t>3、合同总金额</w:t>
      </w:r>
    </w:p>
    <w:p>
      <w:pPr>
        <w:pStyle w:val="17"/>
        <w:spacing w:before="75" w:after="75" w:line="360" w:lineRule="auto"/>
        <w:ind w:firstLine="480"/>
      </w:pPr>
      <w:r>
        <w:t>3.1合同总金额为人民币大写：</w:t>
      </w:r>
      <w:r>
        <w:rPr>
          <w:u w:val="single"/>
        </w:rPr>
        <w:t>          </w:t>
      </w:r>
      <w:r>
        <w:t>元（￥</w:t>
      </w:r>
      <w:r>
        <w:rPr>
          <w:u w:val="single"/>
        </w:rPr>
        <w:t>            </w:t>
      </w:r>
      <w:r>
        <w:t>）。</w:t>
      </w:r>
    </w:p>
    <w:p>
      <w:pPr>
        <w:pStyle w:val="17"/>
        <w:spacing w:before="75" w:after="75" w:line="360" w:lineRule="auto"/>
        <w:ind w:firstLine="480"/>
      </w:pPr>
      <w:r>
        <w:t>4、合同标的交付时间、地点和条件</w:t>
      </w:r>
    </w:p>
    <w:p>
      <w:pPr>
        <w:widowControl/>
        <w:spacing w:after="150" w:line="400" w:lineRule="exact"/>
        <w:ind w:firstLine="480"/>
        <w:jc w:val="left"/>
        <w:rPr>
          <w:rFonts w:ascii="宋体" w:hAnsi="宋体"/>
          <w:kern w:val="0"/>
          <w:sz w:val="24"/>
        </w:rPr>
      </w:pPr>
      <w:r>
        <w:rPr>
          <w:rFonts w:ascii="宋体" w:hAnsi="宋体"/>
          <w:sz w:val="24"/>
        </w:rPr>
        <w:t>4.1交付时间：</w:t>
      </w:r>
      <w:r>
        <w:rPr>
          <w:sz w:val="24"/>
        </w:rPr>
        <w:t>合同签订之日起个日历日内供货并安装调试完毕，甲方在规定期限内组织验收。若因甲方原因或不可抗力等因素导致 的延迟交付，交付期可顺延。</w:t>
      </w:r>
    </w:p>
    <w:p>
      <w:pPr>
        <w:pStyle w:val="17"/>
        <w:spacing w:before="75" w:after="75" w:line="360" w:lineRule="auto"/>
        <w:ind w:firstLine="480"/>
      </w:pPr>
      <w:r>
        <w:t>4.2交付地点：</w:t>
      </w:r>
      <w:r>
        <w:rPr>
          <w:rStyle w:val="21"/>
          <w:rFonts w:hint="eastAsia"/>
          <w:b w:val="0"/>
        </w:rPr>
        <w:t>福建省泉州市安溪县参内乡福建农林大学安溪茶学院内</w:t>
      </w:r>
      <w:r>
        <w:rPr>
          <w:rFonts w:hint="eastAsia"/>
        </w:rPr>
        <w:t>。</w:t>
      </w:r>
      <w:r>
        <w:t> </w:t>
      </w:r>
    </w:p>
    <w:p>
      <w:pPr>
        <w:widowControl/>
        <w:spacing w:after="150" w:line="400" w:lineRule="exact"/>
        <w:ind w:firstLine="480"/>
        <w:jc w:val="left"/>
        <w:rPr>
          <w:rFonts w:ascii="宋体" w:hAnsi="宋体"/>
          <w:kern w:val="0"/>
          <w:sz w:val="24"/>
        </w:rPr>
      </w:pPr>
      <w:r>
        <w:rPr>
          <w:rFonts w:ascii="宋体" w:hAnsi="宋体"/>
          <w:sz w:val="24"/>
        </w:rPr>
        <w:t>4.3交付条件：</w:t>
      </w:r>
      <w:r>
        <w:rPr>
          <w:rFonts w:hint="eastAsia" w:ascii="宋体" w:hAnsi="宋体"/>
          <w:sz w:val="24"/>
        </w:rPr>
        <w:t>验收合格交付采购人使用。</w:t>
      </w:r>
      <w:r>
        <w:rPr>
          <w:rFonts w:ascii="宋体" w:hAnsi="宋体"/>
        </w:rPr>
        <w:t>  </w:t>
      </w:r>
    </w:p>
    <w:p>
      <w:pPr>
        <w:pStyle w:val="17"/>
        <w:spacing w:before="75" w:after="75" w:line="360" w:lineRule="auto"/>
        <w:ind w:firstLine="480"/>
      </w:pPr>
      <w:r>
        <w:t>5、合同标的应符合招标文件、乙方投标文件的规定或约定，具体如下</w:t>
      </w:r>
    </w:p>
    <w:p>
      <w:pPr>
        <w:pStyle w:val="17"/>
        <w:spacing w:before="75" w:after="75" w:line="360" w:lineRule="auto"/>
        <w:ind w:firstLine="480"/>
      </w:pPr>
      <w:r>
        <w:t xml:space="preserve">5.1质量标准：乙方所提供的货物必须是原厂生产的、全新的、未使用过的(包括零部件)，并完全符合原厂质量检测标准（以说明书为 准）和国家质量检测标准以及合同规定的质量规格和性能要求。乙方不按本合同约定提交货物所产生的任何费用由乙方负责，甲方对由此所引起的变动可以不予确认。 </w:t>
      </w:r>
    </w:p>
    <w:p>
      <w:pPr>
        <w:pStyle w:val="17"/>
        <w:spacing w:before="75" w:after="75" w:line="360" w:lineRule="auto"/>
        <w:ind w:firstLine="480"/>
      </w:pPr>
      <w:r>
        <w:t>5.2其他合同标的内容详见本项目相关文件。</w:t>
      </w:r>
    </w:p>
    <w:p>
      <w:pPr>
        <w:pStyle w:val="17"/>
        <w:spacing w:before="75" w:after="75" w:line="360" w:lineRule="auto"/>
        <w:ind w:firstLine="480"/>
      </w:pPr>
      <w:r>
        <w:t>6、验收</w:t>
      </w:r>
    </w:p>
    <w:p>
      <w:pPr>
        <w:pStyle w:val="17"/>
        <w:spacing w:before="75" w:after="75" w:line="360" w:lineRule="auto"/>
        <w:ind w:firstLine="480"/>
      </w:pPr>
      <w:r>
        <w:t>6.1验收应按照</w:t>
      </w:r>
      <w:r>
        <w:rPr>
          <w:rFonts w:hint="eastAsia"/>
          <w:lang w:eastAsia="zh-CN"/>
        </w:rPr>
        <w:t>竞价</w:t>
      </w:r>
      <w:r>
        <w:t>文件、乙方</w:t>
      </w:r>
      <w:r>
        <w:rPr>
          <w:rFonts w:hint="eastAsia"/>
          <w:lang w:eastAsia="zh-CN"/>
        </w:rPr>
        <w:t>响应文件和报价</w:t>
      </w:r>
      <w:r>
        <w:t xml:space="preserve">文件的规定或约定进行，具体如下： </w:t>
      </w:r>
    </w:p>
    <w:p>
      <w:pPr>
        <w:pStyle w:val="17"/>
        <w:spacing w:before="75" w:after="75" w:line="360" w:lineRule="auto"/>
        <w:ind w:firstLine="480"/>
      </w:pPr>
      <w:r>
        <w:t>6.1.1甲方最终用户负责货物清点和验收。乙方所提供的货物安装调试完成并且运行稳定后，甲方最终用户必须按本合同所约定的货物清单及要求对货物的品牌、外观、规格、数 量、配件及安装调试后的使用性能、运行状况及其他进行验收，乙方必须在验收现场提供必要的技术支持。</w:t>
      </w:r>
    </w:p>
    <w:p>
      <w:pPr>
        <w:pStyle w:val="17"/>
        <w:spacing w:before="75" w:after="75" w:line="360" w:lineRule="auto"/>
        <w:ind w:firstLine="480"/>
      </w:pPr>
      <w:r>
        <w:t>6.1.2对于特殊或需 依据检测结果做出结论的项目应邀请国家认可的质量检测机构或部门参与验收。</w:t>
      </w:r>
    </w:p>
    <w:p>
      <w:pPr>
        <w:pStyle w:val="17"/>
        <w:spacing w:before="75" w:after="75" w:line="360" w:lineRule="auto"/>
        <w:ind w:firstLine="480"/>
      </w:pPr>
      <w:r>
        <w:t>6.1.3验收结果经甲乙双方确认后，甲乙双方代 表必须按《</w:t>
      </w:r>
      <w:r>
        <w:rPr>
          <w:rFonts w:hint="eastAsia"/>
        </w:rPr>
        <w:t>福建农林大学物资设备验收单》</w:t>
      </w:r>
      <w:r>
        <w:t>上规定的项目对照本合同填好验收结果并签名，甲方最终用户加盖单位公章 后，提交相关主管部门备案。</w:t>
      </w:r>
    </w:p>
    <w:p>
      <w:pPr>
        <w:pStyle w:val="17"/>
        <w:spacing w:before="75" w:after="75" w:line="360" w:lineRule="auto"/>
        <w:ind w:firstLine="480"/>
      </w:pPr>
      <w:r>
        <w:t xml:space="preserve">6.1.4如货物在质量保证期内被证明存在缺陷，包括潜在的缺陷或使用不合适的材料，甲方有权凭 有关证明文件向乙方提出索赔。 </w:t>
      </w:r>
    </w:p>
    <w:p>
      <w:pPr>
        <w:pStyle w:val="17"/>
        <w:spacing w:before="75" w:after="75" w:line="360" w:lineRule="auto"/>
        <w:ind w:firstLine="480"/>
      </w:pPr>
      <w:r>
        <w:t>6.1.5异议期：货物验收后10个工作日内甲方对货物有异议的，乙方应在</w:t>
      </w:r>
      <w:r>
        <w:rPr>
          <w:rFonts w:hint="eastAsia"/>
        </w:rPr>
        <w:t>3</w:t>
      </w:r>
      <w:r>
        <w:t>个工作日内负责解决，否则视为乙方根本违约。</w:t>
      </w:r>
    </w:p>
    <w:p>
      <w:pPr>
        <w:pStyle w:val="17"/>
        <w:spacing w:before="75" w:after="75" w:line="360" w:lineRule="auto"/>
        <w:ind w:firstLine="480"/>
      </w:pPr>
      <w:r>
        <w:t>6.2本项目是否邀请其他</w:t>
      </w:r>
      <w:r>
        <w:rPr>
          <w:rFonts w:hint="eastAsia"/>
        </w:rPr>
        <w:t>供应商</w:t>
      </w:r>
      <w:r>
        <w:t>参与验收：</w:t>
      </w:r>
    </w:p>
    <w:p>
      <w:pPr>
        <w:pStyle w:val="17"/>
        <w:spacing w:before="75" w:after="75" w:line="360" w:lineRule="auto"/>
        <w:ind w:left="480"/>
      </w:pPr>
      <w:r>
        <w:t>□不邀请。</w:t>
      </w:r>
    </w:p>
    <w:p>
      <w:pPr>
        <w:pStyle w:val="17"/>
        <w:numPr>
          <w:ilvl w:val="0"/>
          <w:numId w:val="2"/>
        </w:numPr>
        <w:spacing w:before="75" w:after="75" w:line="360" w:lineRule="auto"/>
        <w:ind w:firstLine="480"/>
      </w:pPr>
      <w:r>
        <w:t>合同款项的支付具体如下：</w:t>
      </w:r>
    </w:p>
    <w:p>
      <w:pPr>
        <w:pStyle w:val="17"/>
        <w:numPr>
          <w:ilvl w:val="255"/>
          <w:numId w:val="0"/>
        </w:numPr>
        <w:spacing w:before="0" w:beforeAutospacing="0" w:after="0" w:afterAutospacing="0" w:line="500" w:lineRule="exact"/>
        <w:ind w:firstLine="480" w:firstLineChars="200"/>
        <w:rPr>
          <w:rFonts w:ascii="宋体" w:hAnsi="宋体" w:eastAsia="宋体" w:cs="宋体"/>
          <w:color w:val="auto"/>
          <w:sz w:val="24"/>
          <w:szCs w:val="24"/>
        </w:rPr>
      </w:pPr>
      <w:r>
        <w:rPr>
          <w:rFonts w:ascii="宋体" w:hAnsi="宋体" w:eastAsia="宋体" w:cs="宋体"/>
          <w:color w:val="auto"/>
          <w:sz w:val="24"/>
          <w:szCs w:val="24"/>
        </w:rPr>
        <w:t>在货物安装调试完毕、按合同要求验收合格后，在1个月内不存在质量问题的前提下，一次性支付合同总额的100%。（</w:t>
      </w:r>
      <w:r>
        <w:rPr>
          <w:rFonts w:hint="eastAsia" w:cs="宋体"/>
          <w:color w:val="auto"/>
          <w:sz w:val="24"/>
          <w:szCs w:val="24"/>
          <w:lang w:eastAsia="zh-CN"/>
        </w:rPr>
        <w:t>乙方</w:t>
      </w:r>
      <w:r>
        <w:rPr>
          <w:rFonts w:ascii="宋体" w:hAnsi="宋体" w:eastAsia="宋体" w:cs="宋体"/>
          <w:color w:val="auto"/>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止）。考虑到贴息贷款程序上的因素，具体付款方式可视情况经双方协商后在采购合同里体现。</w:t>
      </w:r>
    </w:p>
    <w:p>
      <w:pPr>
        <w:pStyle w:val="17"/>
        <w:numPr>
          <w:ilvl w:val="255"/>
          <w:numId w:val="0"/>
        </w:numPr>
        <w:spacing w:before="0" w:beforeAutospacing="0" w:after="0" w:afterAutospacing="0" w:line="500" w:lineRule="exact"/>
        <w:ind w:firstLine="480" w:firstLineChars="200"/>
        <w:rPr>
          <w:rFonts w:hint="default" w:ascii="宋体" w:hAnsi="宋体" w:eastAsia="宋体" w:cs="宋体"/>
          <w:color w:val="auto"/>
          <w:sz w:val="24"/>
          <w:szCs w:val="24"/>
          <w:u w:val="single"/>
          <w:lang w:val="en-US" w:eastAsia="zh-CN"/>
        </w:rPr>
      </w:pPr>
      <w:r>
        <w:rPr>
          <w:rFonts w:hint="eastAsia" w:cs="宋体"/>
          <w:color w:val="auto"/>
          <w:sz w:val="24"/>
          <w:szCs w:val="24"/>
          <w:u w:val="single"/>
          <w:lang w:val="en-US" w:eastAsia="zh-CN"/>
        </w:rPr>
        <w:t xml:space="preserve">  经双方友好协商，具体付款方式为：                                     </w:t>
      </w:r>
    </w:p>
    <w:p>
      <w:pPr>
        <w:pStyle w:val="17"/>
        <w:spacing w:before="75" w:after="75" w:line="360" w:lineRule="auto"/>
        <w:ind w:firstLine="480"/>
      </w:pPr>
      <w:r>
        <w:t>8、履约保证金（按招标文件约定的百分比填写，不得更改）</w:t>
      </w:r>
    </w:p>
    <w:p>
      <w:pPr>
        <w:pStyle w:val="17"/>
        <w:spacing w:before="75" w:after="75" w:line="360" w:lineRule="auto"/>
        <w:ind w:firstLine="480"/>
        <w:rPr>
          <w:color w:val="auto"/>
          <w:sz w:val="24"/>
        </w:rPr>
      </w:pPr>
      <w:r>
        <w:t>□无。□有，具体如下：</w:t>
      </w:r>
      <w:r>
        <w:rPr>
          <w:rFonts w:hint="eastAsia"/>
        </w:rPr>
        <w:t>是否收取履约保证金： 是。履约保证金百分比：</w:t>
      </w:r>
      <w:r>
        <w:rPr>
          <w:rFonts w:hint="eastAsia"/>
          <w:lang w:val="en-US" w:eastAsia="zh-CN"/>
        </w:rPr>
        <w:t>3</w:t>
      </w:r>
      <w:r>
        <w:rPr>
          <w:rFonts w:hint="eastAsia"/>
        </w:rPr>
        <w:t>%。说明：</w:t>
      </w:r>
      <w:r>
        <w:rPr>
          <w:rFonts w:hint="eastAsia"/>
          <w:sz w:val="24"/>
          <w:lang w:eastAsia="zh-CN"/>
        </w:rPr>
        <w:t>乙方</w:t>
      </w:r>
      <w:r>
        <w:rPr>
          <w:sz w:val="24"/>
        </w:rPr>
        <w:t>在签订采购合同前应向采购人缴纳合同总金额</w:t>
      </w:r>
      <w:r>
        <w:rPr>
          <w:rFonts w:hint="eastAsia"/>
          <w:sz w:val="24"/>
        </w:rPr>
        <w:t xml:space="preserve">3 </w:t>
      </w:r>
      <w:r>
        <w:rPr>
          <w:sz w:val="24"/>
        </w:rPr>
        <w:t>%的履约保证金，该履约保证金将在项目验收合格后且</w:t>
      </w:r>
      <w:r>
        <w:rPr>
          <w:rFonts w:hint="eastAsia"/>
          <w:sz w:val="24"/>
          <w:lang w:eastAsia="zh-CN"/>
        </w:rPr>
        <w:t>乙方</w:t>
      </w:r>
      <w:r>
        <w:rPr>
          <w:sz w:val="24"/>
        </w:rPr>
        <w:t>无违约的前提下无息退还。如果是以保函形式缴纳履约保证金的，</w:t>
      </w:r>
      <w:r>
        <w:rPr>
          <w:rFonts w:hint="eastAsia"/>
          <w:sz w:val="24"/>
          <w:lang w:eastAsia="zh-CN"/>
        </w:rPr>
        <w:t>乙方</w:t>
      </w:r>
      <w:r>
        <w:rPr>
          <w:sz w:val="24"/>
        </w:rPr>
        <w:t>必须开具见索即付(无条件支付)银行保</w:t>
      </w:r>
      <w:r>
        <w:rPr>
          <w:color w:val="auto"/>
          <w:sz w:val="24"/>
        </w:rPr>
        <w:t>函，且保函有效期(即到期时间)必须为项目验收合格后再延长6个月。</w:t>
      </w:r>
    </w:p>
    <w:p>
      <w:pPr>
        <w:pStyle w:val="17"/>
        <w:spacing w:before="75" w:after="75" w:line="360" w:lineRule="auto"/>
        <w:ind w:firstLine="480"/>
      </w:pPr>
      <w:r>
        <w:t>9、合同有效期</w:t>
      </w:r>
    </w:p>
    <w:p>
      <w:pPr>
        <w:widowControl/>
        <w:spacing w:after="150" w:line="400" w:lineRule="exact"/>
        <w:ind w:firstLine="480"/>
        <w:jc w:val="left"/>
        <w:rPr>
          <w:rFonts w:ascii="宋体" w:hAnsi="宋体"/>
          <w:kern w:val="0"/>
          <w:sz w:val="24"/>
        </w:rPr>
      </w:pPr>
      <w:r>
        <w:rPr>
          <w:rFonts w:hint="eastAsia" w:ascii="宋体" w:hAnsi="宋体"/>
          <w:kern w:val="0"/>
          <w:sz w:val="24"/>
        </w:rPr>
        <w:t>至</w:t>
      </w:r>
      <w:r>
        <w:rPr>
          <w:rFonts w:ascii="宋体" w:hAnsi="宋体"/>
          <w:kern w:val="0"/>
          <w:sz w:val="24"/>
        </w:rPr>
        <w:t>合同约定的合同义务履行完毕</w:t>
      </w:r>
      <w:r>
        <w:rPr>
          <w:rFonts w:hint="eastAsia" w:ascii="宋体" w:hAnsi="宋体"/>
          <w:kern w:val="0"/>
          <w:sz w:val="24"/>
        </w:rPr>
        <w:t>或依本合同约定合同解除或终止</w:t>
      </w:r>
      <w:r>
        <w:rPr>
          <w:rFonts w:ascii="宋体" w:hAnsi="宋体"/>
          <w:kern w:val="0"/>
          <w:sz w:val="24"/>
        </w:rPr>
        <w:t>。</w:t>
      </w:r>
    </w:p>
    <w:p>
      <w:pPr>
        <w:pStyle w:val="17"/>
        <w:spacing w:before="75" w:after="75" w:line="360" w:lineRule="auto"/>
        <w:ind w:firstLine="480"/>
      </w:pPr>
      <w:r>
        <w:t>10、违约责任</w:t>
      </w:r>
    </w:p>
    <w:p>
      <w:pPr>
        <w:pStyle w:val="17"/>
        <w:spacing w:before="75" w:after="75" w:line="360" w:lineRule="auto"/>
        <w:ind w:firstLine="480"/>
      </w:pPr>
      <w:r>
        <w:rPr>
          <w:rFonts w:hint="eastAsia"/>
        </w:rPr>
        <w:t>10.1</w:t>
      </w:r>
      <w:r>
        <w:t>乙方</w:t>
      </w:r>
      <w:r>
        <w:rPr>
          <w:rFonts w:hint="eastAsia"/>
        </w:rPr>
        <w:t>按合同清单上的货物运达指定地点并安装调试完成后，甲方应严格按照招标文件要求在双方约定的时间内进行验收，甲方无正当理由不得无故拖延验收时间。</w:t>
      </w:r>
    </w:p>
    <w:p>
      <w:pPr>
        <w:pStyle w:val="17"/>
        <w:spacing w:before="75" w:after="75" w:line="360" w:lineRule="auto"/>
        <w:ind w:firstLine="480"/>
      </w:pPr>
      <w:r>
        <w:t>10.2乙方所交货物不符合本合同要求的，甲方</w:t>
      </w:r>
      <w:r>
        <w:rPr>
          <w:rFonts w:hint="eastAsia"/>
        </w:rPr>
        <w:t>有权拒收并没收其履约保证金</w:t>
      </w:r>
      <w:r>
        <w:t>，且涉及到的部分合同条款甲方有权终止履行。</w:t>
      </w:r>
    </w:p>
    <w:p>
      <w:pPr>
        <w:pStyle w:val="17"/>
        <w:spacing w:before="75" w:after="75" w:line="360" w:lineRule="auto"/>
        <w:ind w:firstLine="480"/>
      </w:pPr>
      <w:r>
        <w:t xml:space="preserve"> 10.3乙方不能按时交付货物的，甲方</w:t>
      </w:r>
      <w:r>
        <w:rPr>
          <w:rFonts w:hint="eastAsia"/>
        </w:rPr>
        <w:t>有权没收其履约保证金</w:t>
      </w:r>
      <w:r>
        <w:t>，</w:t>
      </w:r>
      <w:r>
        <w:rPr>
          <w:rFonts w:hint="eastAsia"/>
        </w:rPr>
        <w:t>乙方逾期交付货物，应向</w:t>
      </w:r>
      <w:r>
        <w:t>甲方</w:t>
      </w:r>
      <w:r>
        <w:rPr>
          <w:rFonts w:hint="eastAsia"/>
        </w:rPr>
        <w:t>每日偿付货款5‰的违约金，</w:t>
      </w:r>
      <w:r>
        <w:t xml:space="preserve">逾期超过15日的，甲方有权单方解除本合同。 </w:t>
      </w:r>
    </w:p>
    <w:p>
      <w:pPr>
        <w:pStyle w:val="17"/>
        <w:spacing w:before="75" w:after="75" w:line="360" w:lineRule="auto"/>
        <w:ind w:firstLine="480"/>
      </w:pPr>
      <w:r>
        <w:t xml:space="preserve">10.4乙方未经甲方同意单方面终止合同的，乙方 除了应向甲方赔偿因合同终止导致的损失外，还应向甲方偿付该合同款总额30%的违约金。 </w:t>
      </w:r>
    </w:p>
    <w:p>
      <w:pPr>
        <w:pStyle w:val="17"/>
        <w:spacing w:before="75" w:after="75" w:line="360" w:lineRule="auto"/>
        <w:ind w:firstLine="480"/>
      </w:pPr>
      <w:r>
        <w:t xml:space="preserve">10.5因乙方违约对甲方造成损失的赔 偿金及合同约定的违约金均可由甲方从未支付的合同款或履约保证金中扣除。 </w:t>
      </w:r>
    </w:p>
    <w:p>
      <w:pPr>
        <w:pStyle w:val="17"/>
        <w:spacing w:before="75" w:after="75" w:line="360" w:lineRule="auto"/>
        <w:ind w:firstLine="480"/>
      </w:pPr>
      <w:r>
        <w:t>10.6 因甲方原因导致乙方未能按合同约定履行的，乙方可免于承担违约责任。</w:t>
      </w:r>
    </w:p>
    <w:p>
      <w:pPr>
        <w:pStyle w:val="17"/>
        <w:spacing w:before="75" w:after="75" w:line="360" w:lineRule="auto"/>
        <w:ind w:firstLine="480"/>
      </w:pPr>
      <w:r>
        <w:t xml:space="preserve">11、知识产权 </w:t>
      </w:r>
    </w:p>
    <w:p>
      <w:pPr>
        <w:pStyle w:val="17"/>
        <w:spacing w:before="75" w:after="75" w:line="360" w:lineRule="auto"/>
        <w:ind w:firstLine="480"/>
      </w:pPr>
      <w:r>
        <w:t xml:space="preserve">11.1乙方提供的采购标的应符合国家知识产权法律、法规的规定且非假冒伪劣品；乙方还应保证甲方不受到第三方关于侵犯知识产权 及专利权、商标权或工业设计权等知识产权方面的指控，任何第三方如果提出此方面指控均与甲方无关，乙方应与第三方交涉，并承担可能 发生的一切法律责任、费用和后果；若甲方因此而遭致损失，则乙方应赔偿该损失。 </w:t>
      </w:r>
    </w:p>
    <w:p>
      <w:pPr>
        <w:pStyle w:val="17"/>
        <w:spacing w:before="75" w:after="75" w:line="360" w:lineRule="auto"/>
        <w:ind w:firstLine="480"/>
      </w:pPr>
      <w:r>
        <w:t>11.2若乙方提供的采购标的不符合国家知识产权法律、法规的规定或被有关主管机关认定为假冒伪劣品，则乙方中标资格将被取消； 甲方还将按照有关法律、法规和规章的规定进行处理，具体如下：并按本合同约定追究其违约责任。</w:t>
      </w:r>
    </w:p>
    <w:p>
      <w:pPr>
        <w:pStyle w:val="17"/>
        <w:spacing w:before="75" w:after="75" w:line="360" w:lineRule="auto"/>
        <w:ind w:firstLine="480"/>
      </w:pPr>
      <w:r>
        <w:t>12、解决争议的方法</w:t>
      </w:r>
    </w:p>
    <w:p>
      <w:pPr>
        <w:pStyle w:val="17"/>
        <w:spacing w:before="75" w:after="75" w:line="360" w:lineRule="auto"/>
        <w:ind w:firstLine="480"/>
      </w:pPr>
      <w:r>
        <w:t>12.1甲、乙双方协商解决。</w:t>
      </w:r>
    </w:p>
    <w:p>
      <w:pPr>
        <w:pStyle w:val="17"/>
        <w:spacing w:before="75" w:after="75" w:line="360" w:lineRule="auto"/>
        <w:ind w:firstLine="480"/>
      </w:pPr>
      <w:r>
        <w:t>12.2若协商解决不成，则通过下列途径之一解决：</w:t>
      </w:r>
    </w:p>
    <w:p>
      <w:pPr>
        <w:pStyle w:val="17"/>
        <w:spacing w:before="75" w:after="75" w:line="360" w:lineRule="auto"/>
        <w:ind w:firstLine="480"/>
      </w:pPr>
      <w:r>
        <w:t>□提交仲裁委员会仲裁，具体如下：</w:t>
      </w:r>
      <w:r>
        <w:rPr>
          <w:rFonts w:hint="eastAsia"/>
        </w:rPr>
        <w:t>向(甲方所在地)仲裁委员会申请仲裁；</w:t>
      </w:r>
    </w:p>
    <w:p>
      <w:pPr>
        <w:pStyle w:val="17"/>
        <w:spacing w:before="75" w:after="75" w:line="360" w:lineRule="auto"/>
        <w:ind w:firstLine="480"/>
      </w:pPr>
      <w:r>
        <w:t>□向人民法院提起诉讼，具体如下：</w:t>
      </w:r>
      <w:r>
        <w:rPr>
          <w:rFonts w:hint="eastAsia"/>
        </w:rPr>
        <w:t>向(甲方所在地)人民法院提出诉讼。</w:t>
      </w:r>
    </w:p>
    <w:p>
      <w:pPr>
        <w:pStyle w:val="17"/>
        <w:spacing w:before="75" w:after="75" w:line="360" w:lineRule="auto"/>
        <w:ind w:firstLine="480"/>
      </w:pPr>
      <w:r>
        <w:t>13、不可抗力</w:t>
      </w:r>
    </w:p>
    <w:p>
      <w:pPr>
        <w:pStyle w:val="17"/>
        <w:spacing w:before="75" w:after="75" w:line="360" w:lineRule="auto"/>
        <w:ind w:firstLine="480"/>
      </w:pPr>
      <w:r>
        <w:t>13.1因不可抗力造成违约的，遭受不可抗力一方应及时向对方通报不能履行或不能完全履行的理由，并在随后取得有关主管机关证明后的</w:t>
      </w:r>
      <w:r>
        <w:rPr>
          <w:rFonts w:ascii="Calibri" w:hAnsi="Calibri"/>
        </w:rPr>
        <w:t>15</w:t>
      </w:r>
      <w:r>
        <w:t>日内向另一方提供不可抗力发生及持续期间的充分证据。基于以上行为，允许遭受不可抗力一方延期履行、部分履行或不履行合同，并根据情况可部分或全部免于承担违约责任。</w:t>
      </w:r>
    </w:p>
    <w:p>
      <w:pPr>
        <w:pStyle w:val="17"/>
        <w:spacing w:before="75" w:after="75" w:line="360" w:lineRule="auto"/>
        <w:ind w:firstLine="480"/>
      </w:pPr>
      <w: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75" w:after="75" w:line="360" w:lineRule="auto"/>
        <w:ind w:firstLine="480"/>
      </w:pPr>
      <w:r>
        <w:t>14、合同条款</w:t>
      </w:r>
    </w:p>
    <w:p>
      <w:pPr>
        <w:pStyle w:val="17"/>
        <w:spacing w:before="75" w:after="75" w:line="360" w:lineRule="auto"/>
        <w:ind w:firstLine="480"/>
      </w:pPr>
      <w:r>
        <w:rPr>
          <w:rFonts w:hint="eastAsia"/>
        </w:rPr>
        <w:t>14.1货物主要技术参数要求（请按品目详细列明）</w:t>
      </w:r>
    </w:p>
    <w:p>
      <w:pPr>
        <w:pStyle w:val="17"/>
        <w:spacing w:before="75" w:after="75" w:line="360" w:lineRule="auto"/>
        <w:ind w:firstLine="480"/>
      </w:pPr>
      <w:r>
        <w:rPr>
          <w:rFonts w:hint="eastAsia"/>
          <w:u w:val="single"/>
        </w:rPr>
        <w:t>若内容较多则详见投标文件。</w:t>
      </w:r>
    </w:p>
    <w:p>
      <w:pPr>
        <w:pStyle w:val="17"/>
        <w:spacing w:before="75" w:after="75" w:line="360" w:lineRule="auto"/>
        <w:ind w:firstLine="480"/>
      </w:pPr>
      <w:r>
        <w:rPr>
          <w:rFonts w:hint="eastAsia"/>
        </w:rPr>
        <w:t>14.2质量保证期及售后服务</w:t>
      </w:r>
    </w:p>
    <w:p>
      <w:pPr>
        <w:pStyle w:val="10"/>
        <w:spacing w:before="75" w:after="75" w:line="360" w:lineRule="auto"/>
        <w:ind w:firstLine="480"/>
        <w:rPr>
          <w:rFonts w:ascii="宋体" w:hAnsi="宋体"/>
          <w:kern w:val="0"/>
          <w:sz w:val="24"/>
        </w:rPr>
      </w:pPr>
      <w:r>
        <w:rPr>
          <w:rFonts w:hint="eastAsia" w:ascii="宋体" w:hAnsi="宋体"/>
          <w:kern w:val="0"/>
          <w:sz w:val="24"/>
        </w:rPr>
        <w:t>根据招标文件</w:t>
      </w:r>
      <w:r>
        <w:rPr>
          <w:rFonts w:ascii="宋体" w:hAnsi="宋体"/>
          <w:kern w:val="0"/>
          <w:sz w:val="24"/>
        </w:rPr>
        <w:t>/投标文件相应内容进行填写</w:t>
      </w:r>
      <w:r>
        <w:rPr>
          <w:rFonts w:hint="eastAsia" w:ascii="宋体" w:hAnsi="宋体"/>
          <w:kern w:val="0"/>
          <w:sz w:val="24"/>
        </w:rPr>
        <w:t>，特别注意质量保证期有无延长；</w:t>
      </w:r>
    </w:p>
    <w:p>
      <w:pPr>
        <w:pStyle w:val="17"/>
        <w:spacing w:before="75" w:after="75" w:line="360" w:lineRule="auto"/>
        <w:ind w:firstLine="480"/>
      </w:pPr>
      <w:r>
        <w:t>15、其他约定</w:t>
      </w:r>
    </w:p>
    <w:p>
      <w:pPr>
        <w:pStyle w:val="17"/>
        <w:spacing w:before="75" w:after="75" w:line="360" w:lineRule="auto"/>
        <w:ind w:firstLine="480"/>
      </w:pPr>
      <w:r>
        <w:t>15.1合同文件与本合同具有同等法律效力。</w:t>
      </w:r>
    </w:p>
    <w:p>
      <w:pPr>
        <w:pStyle w:val="17"/>
        <w:spacing w:before="75" w:after="75" w:line="360" w:lineRule="auto"/>
        <w:ind w:firstLine="480"/>
        <w:rPr>
          <w:sz w:val="24"/>
          <w:szCs w:val="24"/>
        </w:rPr>
      </w:pPr>
      <w:r>
        <w:t>15.2本合</w:t>
      </w:r>
      <w:r>
        <w:rPr>
          <w:sz w:val="24"/>
          <w:szCs w:val="24"/>
        </w:rPr>
        <w:t>同未尽事宜，双方可另行补充。</w:t>
      </w:r>
    </w:p>
    <w:p>
      <w:pPr>
        <w:pStyle w:val="17"/>
        <w:spacing w:before="75" w:after="75" w:line="360" w:lineRule="auto"/>
        <w:ind w:firstLine="480"/>
        <w:rPr>
          <w:sz w:val="24"/>
          <w:szCs w:val="24"/>
        </w:rPr>
      </w:pPr>
      <w:r>
        <w:rPr>
          <w:sz w:val="24"/>
          <w:szCs w:val="24"/>
        </w:rPr>
        <w:t>15.3合同生效：自签订之日起生效。</w:t>
      </w:r>
    </w:p>
    <w:p>
      <w:pPr>
        <w:widowControl/>
        <w:spacing w:after="150" w:line="400" w:lineRule="exact"/>
        <w:ind w:firstLine="480"/>
        <w:jc w:val="left"/>
        <w:rPr>
          <w:rFonts w:ascii="宋体" w:hAnsi="宋体"/>
          <w:sz w:val="24"/>
          <w:szCs w:val="24"/>
        </w:rPr>
      </w:pPr>
      <w:r>
        <w:rPr>
          <w:sz w:val="24"/>
          <w:szCs w:val="24"/>
        </w:rPr>
        <w:t xml:space="preserve">15.4本合同纸质文件一式 </w:t>
      </w:r>
      <w:r>
        <w:rPr>
          <w:rFonts w:hint="eastAsia"/>
          <w:sz w:val="24"/>
          <w:szCs w:val="24"/>
          <w:u w:val="single"/>
        </w:rPr>
        <w:t>陆份</w:t>
      </w:r>
      <w:r>
        <w:rPr>
          <w:rFonts w:hint="eastAsia"/>
          <w:sz w:val="24"/>
          <w:szCs w:val="24"/>
        </w:rPr>
        <w:t>，</w:t>
      </w:r>
      <w:r>
        <w:rPr>
          <w:rFonts w:ascii="宋体" w:hAnsi="宋体"/>
          <w:kern w:val="0"/>
          <w:sz w:val="24"/>
          <w:szCs w:val="24"/>
        </w:rPr>
        <w:t>甲方</w:t>
      </w:r>
      <w:r>
        <w:rPr>
          <w:rFonts w:hint="eastAsia" w:ascii="宋体" w:hAnsi="宋体"/>
          <w:kern w:val="0"/>
          <w:sz w:val="24"/>
          <w:szCs w:val="24"/>
        </w:rPr>
        <w:t>执肆份</w:t>
      </w:r>
      <w:r>
        <w:rPr>
          <w:rFonts w:ascii="宋体" w:hAnsi="宋体"/>
          <w:kern w:val="0"/>
          <w:sz w:val="24"/>
          <w:szCs w:val="24"/>
        </w:rPr>
        <w:t>、乙方执</w:t>
      </w:r>
      <w:r>
        <w:rPr>
          <w:rFonts w:hint="eastAsia" w:ascii="宋体" w:hAnsi="宋体"/>
          <w:kern w:val="0"/>
          <w:sz w:val="24"/>
          <w:szCs w:val="24"/>
        </w:rPr>
        <w:t>贰</w:t>
      </w:r>
      <w:r>
        <w:rPr>
          <w:rFonts w:ascii="宋体" w:hAnsi="宋体"/>
          <w:kern w:val="0"/>
          <w:sz w:val="24"/>
          <w:szCs w:val="24"/>
        </w:rPr>
        <w:t>份</w:t>
      </w:r>
      <w:r>
        <w:rPr>
          <w:rFonts w:hint="eastAsia" w:ascii="宋体" w:hAnsi="宋体"/>
          <w:kern w:val="0"/>
          <w:sz w:val="24"/>
          <w:szCs w:val="24"/>
        </w:rPr>
        <w:t>，</w:t>
      </w:r>
      <w:r>
        <w:rPr>
          <w:sz w:val="24"/>
          <w:szCs w:val="24"/>
        </w:rPr>
        <w:t>合同电子文本通过政府采购网上公开信息系统自动备案。合同纸质文本需与备案电子文本一致，以备案电子文本为准，具有同等效力。</w:t>
      </w:r>
    </w:p>
    <w:p>
      <w:pPr>
        <w:pStyle w:val="17"/>
        <w:spacing w:before="75" w:after="75" w:line="360" w:lineRule="auto"/>
        <w:ind w:firstLine="480"/>
        <w:rPr>
          <w:sz w:val="24"/>
          <w:szCs w:val="24"/>
        </w:rPr>
      </w:pPr>
      <w:r>
        <w:rPr>
          <w:sz w:val="24"/>
          <w:szCs w:val="24"/>
        </w:rPr>
        <w:t>15.5其他：□无。</w:t>
      </w:r>
    </w:p>
    <w:p>
      <w:pPr>
        <w:pStyle w:val="17"/>
        <w:spacing w:before="75" w:after="75" w:line="360" w:lineRule="auto"/>
        <w:ind w:firstLine="480"/>
      </w:pPr>
      <w:r>
        <w:rPr>
          <w:rFonts w:hint="eastAsia"/>
        </w:rPr>
        <w:t>（以下无正文）</w:t>
      </w:r>
    </w:p>
    <w:tbl>
      <w:tblPr>
        <w:tblStyle w:val="18"/>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rPr>
            </w:pPr>
            <w:r>
              <w:rPr>
                <w:rFonts w:ascii="宋体" w:hAnsi="宋体" w:eastAsia="微软雅黑" w:cs="Arial"/>
                <w:kern w:val="0"/>
                <w:sz w:val="24"/>
              </w:rPr>
              <w:t> </w:t>
            </w:r>
            <w:r>
              <w:rPr>
                <w:rFonts w:hint="eastAsia" w:ascii="微软雅黑" w:hAnsi="微软雅黑" w:eastAsia="微软雅黑" w:cs="宋体"/>
                <w:kern w:val="0"/>
                <w:sz w:val="24"/>
              </w:rPr>
              <w:t>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rPr>
            </w:pPr>
            <w:r>
              <w:rPr>
                <w:rFonts w:ascii="宋体" w:hAnsi="宋体" w:eastAsia="微软雅黑" w:cs="宋体"/>
                <w:kern w:val="0"/>
                <w:sz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rPr>
            </w:pPr>
            <w:r>
              <w:rPr>
                <w:rFonts w:hint="eastAsia" w:ascii="微软雅黑" w:hAnsi="微软雅黑" w:eastAsia="微软雅黑" w:cs="宋体"/>
                <w:kern w:val="0"/>
                <w:sz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rPr>
            </w:pPr>
            <w:r>
              <w:rPr>
                <w:rFonts w:hint="eastAsia" w:ascii="微软雅黑" w:hAnsi="微软雅黑" w:eastAsia="微软雅黑" w:cs="宋体"/>
                <w:kern w:val="0"/>
                <w:sz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rPr>
            </w:pPr>
            <w:r>
              <w:rPr>
                <w:rFonts w:hint="eastAsia" w:ascii="微软雅黑" w:hAnsi="微软雅黑" w:eastAsia="微软雅黑" w:cs="宋体"/>
                <w:kern w:val="0"/>
                <w:sz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rPr>
            </w:pPr>
            <w:r>
              <w:rPr>
                <w:rFonts w:ascii="宋体" w:hAnsi="宋体" w:eastAsia="微软雅黑" w:cs="宋体"/>
                <w:kern w:val="0"/>
                <w:sz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rPr>
            </w:pPr>
            <w:r>
              <w:rPr>
                <w:rFonts w:ascii="宋体" w:hAnsi="宋体" w:eastAsia="微软雅黑" w:cs="宋体"/>
                <w:kern w:val="0"/>
                <w:sz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rPr>
            </w:pPr>
            <w:r>
              <w:rPr>
                <w:rFonts w:hint="eastAsia" w:ascii="微软雅黑" w:hAnsi="微软雅黑" w:eastAsia="微软雅黑" w:cs="宋体"/>
                <w:kern w:val="0"/>
                <w:sz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rPr>
            </w:pPr>
            <w:r>
              <w:rPr>
                <w:rFonts w:hint="eastAsia" w:ascii="微软雅黑" w:hAnsi="微软雅黑" w:eastAsia="微软雅黑" w:cs="宋体"/>
                <w:kern w:val="0"/>
                <w:sz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rPr>
            </w:pPr>
            <w:r>
              <w:rPr>
                <w:rFonts w:hint="eastAsia" w:ascii="宋体" w:hAnsi="宋体" w:eastAsia="微软雅黑" w:cs="宋体"/>
                <w:kern w:val="0"/>
                <w:sz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rPr>
            </w:pPr>
            <w:r>
              <w:rPr>
                <w:rFonts w:ascii="宋体" w:hAnsi="宋体" w:eastAsia="微软雅黑" w:cs="宋体"/>
                <w:kern w:val="0"/>
                <w:sz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rPr>
            </w:pPr>
            <w:r>
              <w:rPr>
                <w:rFonts w:hint="eastAsia" w:ascii="微软雅黑" w:hAnsi="微软雅黑" w:eastAsia="微软雅黑" w:cs="宋体"/>
                <w:kern w:val="0"/>
                <w:sz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rPr>
            </w:pPr>
            <w:r>
              <w:rPr>
                <w:rFonts w:hint="eastAsia" w:ascii="微软雅黑" w:hAnsi="微软雅黑" w:eastAsia="微软雅黑" w:cs="宋体"/>
                <w:kern w:val="0"/>
                <w:sz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rPr>
            </w:pPr>
            <w:r>
              <w:rPr>
                <w:rFonts w:hint="eastAsia" w:ascii="微软雅黑" w:hAnsi="微软雅黑" w:eastAsia="微软雅黑" w:cs="宋体"/>
                <w:kern w:val="0"/>
                <w:sz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rPr>
            </w:pPr>
            <w:r>
              <w:rPr>
                <w:rFonts w:hint="eastAsia" w:ascii="微软雅黑" w:hAnsi="微软雅黑" w:eastAsia="微软雅黑" w:cs="宋体"/>
                <w:kern w:val="0"/>
                <w:sz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rPr>
            </w:pPr>
            <w:r>
              <w:rPr>
                <w:rFonts w:hint="eastAsia" w:ascii="微软雅黑" w:hAnsi="微软雅黑" w:eastAsia="微软雅黑" w:cs="宋体"/>
                <w:kern w:val="0"/>
                <w:sz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rPr>
            </w:pPr>
            <w:r>
              <w:rPr>
                <w:rFonts w:hint="eastAsia" w:ascii="微软雅黑" w:hAnsi="微软雅黑" w:eastAsia="微软雅黑" w:cs="宋体"/>
                <w:kern w:val="0"/>
                <w:sz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rPr>
            </w:pPr>
            <w:r>
              <w:rPr>
                <w:rFonts w:hint="eastAsia" w:ascii="微软雅黑" w:hAnsi="微软雅黑" w:eastAsia="微软雅黑" w:cs="宋体"/>
                <w:kern w:val="0"/>
                <w:sz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rPr>
            </w:pPr>
            <w:r>
              <w:rPr>
                <w:rFonts w:hint="eastAsia" w:ascii="微软雅黑" w:hAnsi="微软雅黑" w:eastAsia="微软雅黑" w:cs="宋体"/>
                <w:kern w:val="0"/>
                <w:sz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rPr>
            </w:pPr>
            <w:r>
              <w:rPr>
                <w:rFonts w:hint="eastAsia" w:ascii="微软雅黑" w:hAnsi="微软雅黑" w:eastAsia="微软雅黑" w:cs="宋体"/>
                <w:kern w:val="0"/>
                <w:sz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rPr>
            </w:pPr>
            <w:r>
              <w:rPr>
                <w:rFonts w:hint="eastAsia" w:ascii="微软雅黑" w:hAnsi="微软雅黑" w:eastAsia="微软雅黑" w:cs="宋体"/>
                <w:kern w:val="0"/>
                <w:sz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eastAsia="微软雅黑" w:cs="宋体"/>
                <w:kern w:val="0"/>
                <w:sz w:val="24"/>
              </w:rPr>
            </w:pPr>
            <w:r>
              <w:rPr>
                <w:rFonts w:hint="eastAsia" w:ascii="宋体" w:hAnsi="宋体" w:eastAsia="微软雅黑" w:cs="宋体"/>
                <w:kern w:val="0"/>
                <w:sz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rPr>
            </w:pPr>
            <w:r>
              <w:rPr>
                <w:rFonts w:hint="eastAsia" w:ascii="微软雅黑" w:hAnsi="微软雅黑" w:eastAsia="微软雅黑" w:cs="宋体"/>
                <w:kern w:val="0"/>
                <w:sz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rPr>
            </w:pPr>
            <w:r>
              <w:rPr>
                <w:rFonts w:hint="eastAsia" w:ascii="微软雅黑" w:hAnsi="微软雅黑" w:eastAsia="微软雅黑" w:cs="宋体"/>
                <w:kern w:val="0"/>
                <w:sz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rPr>
            </w:pPr>
            <w:r>
              <w:rPr>
                <w:rFonts w:hint="eastAsia" w:ascii="微软雅黑" w:hAnsi="微软雅黑" w:eastAsia="微软雅黑" w:cs="宋体"/>
                <w:kern w:val="0"/>
                <w:sz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eastAsia="微软雅黑" w:cs="宋体"/>
                <w:kern w:val="0"/>
                <w:sz w:val="24"/>
              </w:rPr>
            </w:pPr>
            <w:r>
              <w:rPr>
                <w:rFonts w:ascii="宋体" w:hAnsi="宋体" w:eastAsia="微软雅黑" w:cs="宋体"/>
                <w:kern w:val="0"/>
                <w:sz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rPr>
            </w:pPr>
            <w:r>
              <w:rPr>
                <w:rFonts w:hint="eastAsia" w:ascii="微软雅黑" w:hAnsi="微软雅黑" w:eastAsia="微软雅黑" w:cs="宋体"/>
                <w:kern w:val="0"/>
                <w:sz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rPr>
            </w:pPr>
            <w:r>
              <w:rPr>
                <w:rFonts w:hint="eastAsia" w:ascii="微软雅黑" w:hAnsi="微软雅黑" w:eastAsia="微软雅黑" w:cs="宋体"/>
                <w:kern w:val="0"/>
                <w:sz w:val="24"/>
              </w:rPr>
              <w:t>必填</w:t>
            </w:r>
          </w:p>
        </w:tc>
      </w:tr>
    </w:tbl>
    <w:p>
      <w:pPr>
        <w:pStyle w:val="17"/>
        <w:spacing w:before="75" w:after="75" w:line="360" w:lineRule="auto"/>
      </w:pPr>
      <w:r>
        <w:t> 签订地点：</w:t>
      </w:r>
      <w:r>
        <w:rPr>
          <w:u w:val="single"/>
        </w:rPr>
        <w:t> </w:t>
      </w:r>
      <w:r>
        <w:rPr>
          <w:rFonts w:hint="eastAsia" w:ascii="微软雅黑" w:hAnsi="微软雅黑" w:eastAsia="微软雅黑"/>
        </w:rPr>
        <w:t>必填</w:t>
      </w:r>
      <w:r>
        <w:rPr>
          <w:u w:val="single"/>
        </w:rPr>
        <w:t>               </w:t>
      </w:r>
    </w:p>
    <w:p>
      <w:pPr>
        <w:pStyle w:val="17"/>
        <w:spacing w:before="75" w:after="75" w:line="360" w:lineRule="auto"/>
      </w:pPr>
      <w:r>
        <w:t>签订日期：</w:t>
      </w:r>
      <w:r>
        <w:rPr>
          <w:u w:val="single"/>
        </w:rPr>
        <w:t> </w:t>
      </w:r>
      <w:r>
        <w:rPr>
          <w:rFonts w:hint="eastAsia" w:ascii="微软雅黑" w:hAnsi="微软雅黑" w:eastAsia="微软雅黑"/>
        </w:rPr>
        <w:t>必填</w:t>
      </w:r>
      <w:r>
        <w:rPr>
          <w:u w:val="single"/>
        </w:rPr>
        <w:t> </w:t>
      </w:r>
      <w:r>
        <w:t>年</w:t>
      </w:r>
      <w:r>
        <w:rPr>
          <w:u w:val="single"/>
        </w:rPr>
        <w:t> </w:t>
      </w:r>
      <w:r>
        <w:rPr>
          <w:rFonts w:hint="eastAsia" w:ascii="微软雅黑" w:hAnsi="微软雅黑" w:eastAsia="微软雅黑"/>
        </w:rPr>
        <w:t>必填</w:t>
      </w:r>
      <w:r>
        <w:rPr>
          <w:u w:val="single"/>
        </w:rPr>
        <w:t>  </w:t>
      </w:r>
      <w:r>
        <w:t>月</w:t>
      </w:r>
      <w:r>
        <w:rPr>
          <w:u w:val="single"/>
        </w:rPr>
        <w:t> </w:t>
      </w:r>
      <w:r>
        <w:rPr>
          <w:rFonts w:hint="eastAsia" w:ascii="微软雅黑" w:hAnsi="微软雅黑" w:eastAsia="微软雅黑"/>
        </w:rPr>
        <w:t>必填</w:t>
      </w:r>
      <w:r>
        <w:rPr>
          <w:u w:val="single"/>
        </w:rPr>
        <w:t>  </w:t>
      </w:r>
      <w:r>
        <w:t>日 </w:t>
      </w: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pStyle w:val="2"/>
        <w:rPr>
          <w:rFonts w:ascii="宋体" w:hAnsi="宋体"/>
          <w:b/>
          <w:sz w:val="36"/>
          <w:szCs w:val="36"/>
        </w:rPr>
      </w:pPr>
    </w:p>
    <w:p>
      <w:pPr>
        <w:pStyle w:val="4"/>
      </w:pPr>
    </w:p>
    <w:p>
      <w:pPr>
        <w:spacing w:line="360" w:lineRule="auto"/>
        <w:jc w:val="left"/>
        <w:rPr>
          <w:rFonts w:ascii="宋体" w:hAnsi="宋体"/>
          <w:b/>
          <w:sz w:val="36"/>
          <w:szCs w:val="36"/>
        </w:rPr>
      </w:pPr>
    </w:p>
    <w:p>
      <w:pPr>
        <w:pStyle w:val="25"/>
        <w:rPr>
          <w:rFonts w:ascii="宋体" w:hAnsi="宋体" w:cs="宋体"/>
          <w:sz w:val="24"/>
          <w:szCs w:val="24"/>
          <w:lang w:val="zh-TW"/>
        </w:rPr>
      </w:pPr>
    </w:p>
    <w:p>
      <w:pPr>
        <w:widowControl/>
        <w:spacing w:line="400" w:lineRule="exact"/>
        <w:jc w:val="center"/>
        <w:outlineLvl w:val="0"/>
        <w:rPr>
          <w:rFonts w:ascii="宋体" w:hAnsi="宋体"/>
          <w:b/>
          <w:bCs/>
          <w:sz w:val="36"/>
          <w:szCs w:val="36"/>
        </w:rPr>
      </w:pPr>
      <w:bookmarkStart w:id="12" w:name="_Toc15897"/>
      <w:bookmarkStart w:id="13" w:name="_Toc26969"/>
      <w:r>
        <w:rPr>
          <w:rFonts w:hint="eastAsia" w:ascii="宋体" w:hAnsi="宋体"/>
          <w:b/>
          <w:bCs/>
          <w:sz w:val="36"/>
          <w:szCs w:val="36"/>
        </w:rPr>
        <w:t>第四章 响应文件格式</w:t>
      </w:r>
      <w:bookmarkEnd w:id="12"/>
      <w:bookmarkEnd w:id="13"/>
    </w:p>
    <w:p>
      <w:pPr>
        <w:adjustRightInd w:val="0"/>
        <w:snapToGrid w:val="0"/>
        <w:spacing w:line="560" w:lineRule="exact"/>
        <w:ind w:firstLine="480" w:firstLineChars="200"/>
        <w:jc w:val="center"/>
        <w:rPr>
          <w:rFonts w:hint="eastAsia" w:ascii="宋体" w:hAnsi="宋体" w:cs="宋体"/>
          <w:sz w:val="24"/>
        </w:rPr>
      </w:pPr>
    </w:p>
    <w:p>
      <w:pPr>
        <w:adjustRightInd w:val="0"/>
        <w:snapToGrid w:val="0"/>
        <w:spacing w:line="560" w:lineRule="exact"/>
        <w:ind w:firstLine="480" w:firstLineChars="200"/>
        <w:jc w:val="center"/>
        <w:rPr>
          <w:rFonts w:hint="eastAsia" w:ascii="宋体" w:hAnsi="宋体" w:cs="宋体"/>
          <w:sz w:val="24"/>
        </w:rPr>
      </w:pPr>
      <w:r>
        <w:rPr>
          <w:rFonts w:hint="eastAsia" w:ascii="宋体" w:hAnsi="宋体" w:cs="宋体"/>
          <w:sz w:val="24"/>
        </w:rPr>
        <w:t>响应文件编制说明</w:t>
      </w:r>
    </w:p>
    <w:p>
      <w:pPr>
        <w:pStyle w:val="2"/>
      </w:pP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竞价人应详细阅读网上竞价文件内容，在编制响应文件时，要按响应文件格式进行编制，并保证其所提交的全部资料是不可割离且真实、合法、有效、准确、完整，否则造成不利后果均由竞价人承担。</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2.格式要求：响应文件应使用不能擦去的墨料或墨水打印、书写或复印，其中：应用A4幅面纸张打印，编制封面、页码(须每页加盖公章和骑缝章)。</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3.其他要求：</w:t>
      </w:r>
    </w:p>
    <w:p>
      <w:pPr>
        <w:snapToGrid w:val="0"/>
        <w:spacing w:line="560" w:lineRule="exact"/>
        <w:ind w:firstLine="480" w:firstLineChars="200"/>
        <w:jc w:val="left"/>
        <w:textAlignment w:val="baseline"/>
        <w:rPr>
          <w:rStyle w:val="26"/>
          <w:rFonts w:ascii="宋体" w:hAnsi="宋体"/>
          <w:sz w:val="24"/>
        </w:rPr>
      </w:pPr>
      <w:r>
        <w:rPr>
          <w:rStyle w:val="26"/>
          <w:rFonts w:ascii="宋体" w:hAnsi="宋体"/>
          <w:sz w:val="24"/>
        </w:rPr>
        <w:t>①</w:t>
      </w:r>
      <w:r>
        <w:rPr>
          <w:rStyle w:val="26"/>
          <w:rFonts w:ascii="宋体" w:hAnsi="宋体"/>
          <w:kern w:val="0"/>
          <w:sz w:val="24"/>
        </w:rPr>
        <w:t>竞价人在福建省宏瑞招标代理有限公司网上竞价系统（http://bid.fjhongrui.com）进行</w:t>
      </w:r>
      <w:r>
        <w:rPr>
          <w:rStyle w:val="26"/>
          <w:rFonts w:hint="eastAsia" w:ascii="宋体" w:hAnsi="宋体"/>
          <w:kern w:val="0"/>
          <w:sz w:val="24"/>
        </w:rPr>
        <w:t>竞价人</w:t>
      </w:r>
      <w:r>
        <w:rPr>
          <w:rStyle w:val="26"/>
          <w:rFonts w:ascii="宋体" w:hAnsi="宋体"/>
          <w:kern w:val="0"/>
          <w:sz w:val="24"/>
        </w:rPr>
        <w:t>注册。</w:t>
      </w:r>
    </w:p>
    <w:p>
      <w:pPr>
        <w:snapToGrid w:val="0"/>
        <w:spacing w:line="560" w:lineRule="exact"/>
        <w:ind w:firstLine="480" w:firstLineChars="200"/>
        <w:jc w:val="left"/>
        <w:textAlignment w:val="baseline"/>
        <w:rPr>
          <w:rStyle w:val="26"/>
          <w:rFonts w:ascii="宋体" w:hAnsi="宋体"/>
          <w:sz w:val="24"/>
        </w:rPr>
      </w:pPr>
      <w:r>
        <w:rPr>
          <w:rStyle w:val="26"/>
          <w:rFonts w:ascii="宋体" w:hAnsi="宋体"/>
          <w:sz w:val="24"/>
        </w:rPr>
        <w:t>②证明材料应没有涂改或行间插字，否则</w:t>
      </w:r>
      <w:r>
        <w:rPr>
          <w:rStyle w:val="26"/>
          <w:rFonts w:hint="eastAsia" w:ascii="宋体" w:hAnsi="宋体"/>
          <w:sz w:val="24"/>
        </w:rPr>
        <w:t>视为无效证明</w:t>
      </w:r>
      <w:r>
        <w:rPr>
          <w:rStyle w:val="26"/>
          <w:rFonts w:ascii="宋体" w:hAnsi="宋体"/>
          <w:sz w:val="24"/>
        </w:rPr>
        <w:t>。</w:t>
      </w:r>
    </w:p>
    <w:p/>
    <w:p>
      <w:pPr>
        <w:pStyle w:val="8"/>
      </w:pPr>
    </w:p>
    <w:p/>
    <w:p>
      <w:pPr>
        <w:pStyle w:val="8"/>
      </w:pPr>
    </w:p>
    <w:p/>
    <w:p>
      <w:pPr>
        <w:pStyle w:val="9"/>
      </w:pPr>
    </w:p>
    <w:p>
      <w:pPr>
        <w:pStyle w:val="5"/>
      </w:pPr>
    </w:p>
    <w:p>
      <w:pPr>
        <w:pStyle w:val="9"/>
      </w:pPr>
    </w:p>
    <w:p>
      <w:pPr>
        <w:pStyle w:val="5"/>
      </w:pPr>
    </w:p>
    <w:p>
      <w:pPr>
        <w:pStyle w:val="9"/>
      </w:pPr>
    </w:p>
    <w:p>
      <w:pPr>
        <w:pStyle w:val="5"/>
      </w:pPr>
    </w:p>
    <w:p>
      <w:pPr>
        <w:pStyle w:val="9"/>
      </w:pPr>
    </w:p>
    <w:p>
      <w:pPr>
        <w:pStyle w:val="5"/>
      </w:pPr>
    </w:p>
    <w:p>
      <w:pPr>
        <w:pStyle w:val="9"/>
      </w:pPr>
    </w:p>
    <w:p>
      <w:pPr>
        <w:pStyle w:val="5"/>
      </w:pPr>
    </w:p>
    <w:p>
      <w:pPr>
        <w:pStyle w:val="9"/>
      </w:pPr>
    </w:p>
    <w:p>
      <w:pPr>
        <w:pStyle w:val="5"/>
      </w:pPr>
    </w:p>
    <w:p>
      <w:pPr>
        <w:pStyle w:val="5"/>
      </w:pPr>
    </w:p>
    <w:p/>
    <w:p>
      <w:pPr>
        <w:pStyle w:val="9"/>
      </w:pPr>
    </w:p>
    <w:p>
      <w:pPr>
        <w:pStyle w:val="5"/>
      </w:pPr>
    </w:p>
    <w:p>
      <w:pPr>
        <w:pStyle w:val="9"/>
      </w:pPr>
    </w:p>
    <w:p>
      <w:pPr>
        <w:pStyle w:val="5"/>
      </w:pPr>
    </w:p>
    <w:p>
      <w:pPr>
        <w:spacing w:line="1000" w:lineRule="exact"/>
        <w:jc w:val="center"/>
        <w:rPr>
          <w:rFonts w:ascii="黑体" w:hAnsi="黑体" w:eastAsia="黑体"/>
          <w:sz w:val="96"/>
          <w:szCs w:val="96"/>
        </w:rPr>
      </w:pPr>
    </w:p>
    <w:p>
      <w:pPr>
        <w:spacing w:line="1000" w:lineRule="exact"/>
        <w:jc w:val="center"/>
        <w:rPr>
          <w:rFonts w:ascii="黑体" w:hAnsi="黑体" w:eastAsia="黑体"/>
          <w:sz w:val="96"/>
          <w:szCs w:val="96"/>
        </w:rPr>
      </w:pPr>
      <w:r>
        <w:rPr>
          <w:rFonts w:hint="eastAsia" w:ascii="黑体" w:hAnsi="黑体" w:eastAsia="黑体"/>
          <w:sz w:val="96"/>
          <w:szCs w:val="96"/>
        </w:rPr>
        <w:t>响应文件</w:t>
      </w:r>
    </w:p>
    <w:p>
      <w:pPr>
        <w:spacing w:line="1000" w:lineRule="exact"/>
        <w:ind w:firstLine="1920" w:firstLineChars="200"/>
        <w:jc w:val="left"/>
        <w:rPr>
          <w:sz w:val="96"/>
          <w:szCs w:val="96"/>
        </w:rPr>
      </w:pPr>
    </w:p>
    <w:p>
      <w:pPr>
        <w:spacing w:line="1000" w:lineRule="exact"/>
        <w:ind w:firstLine="1920" w:firstLineChars="200"/>
        <w:jc w:val="left"/>
        <w:rPr>
          <w:sz w:val="96"/>
          <w:szCs w:val="96"/>
        </w:rPr>
      </w:pPr>
    </w:p>
    <w:p>
      <w:pPr>
        <w:pStyle w:val="8"/>
      </w:pPr>
    </w:p>
    <w:p>
      <w:pPr>
        <w:spacing w:line="1000" w:lineRule="exact"/>
        <w:ind w:firstLine="1920" w:firstLineChars="200"/>
        <w:jc w:val="left"/>
        <w:rPr>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竞价人名称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电话：</w:t>
      </w:r>
      <w:r>
        <w:rPr>
          <w:rFonts w:hint="eastAsia" w:ascii="宋体" w:hAnsi="宋体" w:cs="宋体"/>
          <w:b/>
          <w:sz w:val="30"/>
          <w:u w:val="single"/>
        </w:rPr>
        <w:t xml:space="preserve">            </w:t>
      </w:r>
      <w:r>
        <w:rPr>
          <w:rFonts w:hint="eastAsia" w:ascii="宋体" w:hAnsi="宋体" w:cs="宋体"/>
          <w:b/>
          <w:sz w:val="30"/>
        </w:rPr>
        <w:t>传真：</w:t>
      </w:r>
      <w:r>
        <w:rPr>
          <w:rFonts w:hint="eastAsia" w:ascii="宋体" w:hAnsi="宋体" w:cs="宋体"/>
          <w:b/>
          <w:sz w:val="30"/>
          <w:u w:val="single"/>
        </w:rPr>
        <w:t xml:space="preserve">         </w:t>
      </w:r>
      <w:r>
        <w:rPr>
          <w:rFonts w:hint="eastAsia" w:ascii="宋体" w:hAnsi="宋体" w:cs="宋体"/>
          <w:b/>
          <w:sz w:val="30"/>
        </w:rPr>
        <w:t>邮编：</w:t>
      </w:r>
      <w:r>
        <w:rPr>
          <w:rFonts w:hint="eastAsia" w:ascii="宋体" w:hAnsi="宋体" w:cs="宋体"/>
          <w:b/>
          <w:sz w:val="30"/>
          <w:u w:val="single"/>
        </w:rPr>
        <w:t xml:space="preserve">       </w:t>
      </w:r>
    </w:p>
    <w:p>
      <w:pPr>
        <w:spacing w:line="360" w:lineRule="auto"/>
        <w:ind w:firstLine="741" w:firstLineChars="246"/>
        <w:rPr>
          <w:rFonts w:ascii="宋体" w:hAnsi="宋体" w:cs="宋体"/>
          <w:b/>
          <w:sz w:val="30"/>
          <w:u w:val="single"/>
        </w:rPr>
      </w:pPr>
      <w:r>
        <w:rPr>
          <w:rFonts w:hint="eastAsia" w:ascii="宋体" w:hAnsi="宋体" w:cs="宋体"/>
          <w:b/>
          <w:sz w:val="30"/>
        </w:rPr>
        <w:t>竞价人代表（印刷体）：</w:t>
      </w:r>
      <w:r>
        <w:rPr>
          <w:rFonts w:hint="eastAsia" w:ascii="宋体" w:hAnsi="宋体" w:cs="宋体"/>
          <w:b/>
          <w:sz w:val="30"/>
          <w:u w:val="single"/>
        </w:rPr>
        <w:t xml:space="preserve">         </w:t>
      </w:r>
      <w:r>
        <w:rPr>
          <w:rFonts w:hint="eastAsia" w:ascii="宋体" w:hAnsi="宋体" w:cs="宋体"/>
          <w:b/>
          <w:sz w:val="30"/>
        </w:rPr>
        <w:t xml:space="preserve"> 签字：</w:t>
      </w:r>
      <w:r>
        <w:rPr>
          <w:rFonts w:hint="eastAsia" w:ascii="宋体" w:hAnsi="宋体" w:cs="宋体"/>
          <w:b/>
          <w:sz w:val="30"/>
          <w:u w:val="single"/>
        </w:rPr>
        <w:t xml:space="preserve">           </w:t>
      </w:r>
    </w:p>
    <w:p>
      <w:pPr>
        <w:spacing w:line="360" w:lineRule="auto"/>
        <w:ind w:firstLine="741" w:firstLineChars="246"/>
        <w:rPr>
          <w:rFonts w:ascii="宋体" w:hAnsi="宋体" w:cs="宋体"/>
          <w:b/>
          <w:sz w:val="30"/>
        </w:rPr>
      </w:pPr>
      <w:r>
        <w:rPr>
          <w:rFonts w:hint="eastAsia" w:ascii="宋体" w:hAnsi="宋体" w:cs="宋体"/>
          <w:b/>
          <w:sz w:val="30"/>
        </w:rPr>
        <w:t>手机：</w:t>
      </w:r>
      <w:r>
        <w:rPr>
          <w:rFonts w:hint="eastAsia" w:ascii="宋体" w:hAnsi="宋体" w:cs="宋体"/>
          <w:b/>
          <w:sz w:val="30"/>
          <w:u w:val="single"/>
        </w:rPr>
        <w:t xml:space="preserve">              </w:t>
      </w:r>
      <w:r>
        <w:rPr>
          <w:rFonts w:hint="eastAsia" w:ascii="宋体" w:hAnsi="宋体" w:cs="宋体"/>
          <w:b/>
          <w:sz w:val="30"/>
        </w:rPr>
        <w:t xml:space="preserve">         日期 ：</w:t>
      </w:r>
      <w:r>
        <w:rPr>
          <w:rFonts w:hint="eastAsia" w:ascii="宋体" w:hAnsi="宋体" w:cs="宋体"/>
          <w:b/>
          <w:sz w:val="30"/>
          <w:u w:val="single"/>
        </w:rPr>
        <w:t xml:space="preserve">  年 月 日</w:t>
      </w:r>
    </w:p>
    <w:p/>
    <w:p>
      <w:pPr>
        <w:pStyle w:val="8"/>
      </w:pPr>
    </w:p>
    <w:p/>
    <w:p>
      <w:pPr>
        <w:pStyle w:val="9"/>
      </w:pPr>
    </w:p>
    <w:p>
      <w:pPr>
        <w:pStyle w:val="5"/>
      </w:pPr>
    </w:p>
    <w:p>
      <w:pPr>
        <w:pStyle w:val="9"/>
      </w:pPr>
    </w:p>
    <w:p/>
    <w:p>
      <w:pPr>
        <w:pStyle w:val="9"/>
      </w:pPr>
    </w:p>
    <w:p>
      <w:pPr>
        <w:pStyle w:val="5"/>
      </w:pPr>
    </w:p>
    <w:p>
      <w:pPr>
        <w:pStyle w:val="9"/>
      </w:pPr>
    </w:p>
    <w:p>
      <w:pPr>
        <w:pStyle w:val="5"/>
      </w:pPr>
    </w:p>
    <w:p>
      <w:pPr>
        <w:pStyle w:val="9"/>
      </w:pPr>
    </w:p>
    <w:p>
      <w:pPr>
        <w:pStyle w:val="5"/>
      </w:pPr>
    </w:p>
    <w:p/>
    <w:p>
      <w:pPr>
        <w:pStyle w:val="28"/>
        <w:spacing w:after="120" w:line="500" w:lineRule="exact"/>
        <w:jc w:val="center"/>
        <w:outlineLvl w:val="9"/>
        <w:rPr>
          <w:rFonts w:hAnsi="宋体" w:cs="宋体"/>
          <w:b/>
          <w:sz w:val="36"/>
        </w:rPr>
      </w:pPr>
      <w:bookmarkStart w:id="14" w:name="_Toc9919"/>
      <w:bookmarkStart w:id="15" w:name="_Toc17123"/>
      <w:bookmarkStart w:id="16" w:name="_Toc30687"/>
      <w:r>
        <w:rPr>
          <w:rFonts w:hint="eastAsia" w:hAnsi="宋体" w:cs="宋体"/>
          <w:b/>
          <w:sz w:val="36"/>
        </w:rPr>
        <w:t>目录</w:t>
      </w:r>
      <w:bookmarkEnd w:id="14"/>
      <w:bookmarkEnd w:id="15"/>
      <w:bookmarkEnd w:id="16"/>
    </w:p>
    <w:p>
      <w:pPr>
        <w:pStyle w:val="28"/>
        <w:spacing w:after="120" w:line="500" w:lineRule="exact"/>
        <w:outlineLvl w:val="9"/>
        <w:rPr>
          <w:rFonts w:hAnsi="宋体" w:cs="宋体"/>
          <w:b/>
          <w:sz w:val="36"/>
        </w:rPr>
      </w:pPr>
    </w:p>
    <w:p>
      <w:pPr>
        <w:pStyle w:val="28"/>
        <w:spacing w:line="400" w:lineRule="exact"/>
        <w:outlineLvl w:val="9"/>
        <w:rPr>
          <w:rFonts w:hAnsi="宋体" w:cs="宋体"/>
          <w:bCs/>
          <w:sz w:val="24"/>
        </w:rPr>
      </w:pPr>
      <w:bookmarkStart w:id="17" w:name="_Toc31278"/>
      <w:bookmarkStart w:id="18" w:name="_Toc30667"/>
      <w:bookmarkStart w:id="19" w:name="_Toc24454"/>
      <w:r>
        <w:rPr>
          <w:rFonts w:hint="eastAsia" w:hAnsi="宋体" w:cs="宋体"/>
          <w:bCs/>
          <w:sz w:val="24"/>
        </w:rPr>
        <w:t>1、竞价承诺书</w:t>
      </w:r>
      <w:bookmarkEnd w:id="17"/>
      <w:bookmarkEnd w:id="18"/>
      <w:bookmarkEnd w:id="19"/>
    </w:p>
    <w:p>
      <w:pPr>
        <w:pStyle w:val="28"/>
        <w:spacing w:line="400" w:lineRule="exact"/>
        <w:outlineLvl w:val="9"/>
        <w:rPr>
          <w:rFonts w:hAnsi="宋体" w:cs="宋体"/>
          <w:bCs/>
          <w:sz w:val="24"/>
        </w:rPr>
      </w:pPr>
      <w:bookmarkStart w:id="20" w:name="_Toc2239"/>
      <w:bookmarkStart w:id="21" w:name="_Toc8264"/>
      <w:bookmarkStart w:id="22" w:name="_Toc27025"/>
      <w:r>
        <w:rPr>
          <w:rFonts w:hint="eastAsia" w:hAnsi="宋体" w:cs="宋体"/>
          <w:bCs/>
          <w:sz w:val="24"/>
        </w:rPr>
        <w:t>2、竞价人的资格声明</w:t>
      </w:r>
      <w:bookmarkEnd w:id="20"/>
      <w:bookmarkEnd w:id="21"/>
      <w:bookmarkEnd w:id="22"/>
    </w:p>
    <w:p>
      <w:pPr>
        <w:pStyle w:val="28"/>
        <w:spacing w:line="400" w:lineRule="exact"/>
        <w:outlineLvl w:val="9"/>
        <w:rPr>
          <w:rFonts w:hAnsi="宋体" w:cs="宋体"/>
          <w:bCs/>
          <w:sz w:val="24"/>
        </w:rPr>
      </w:pPr>
      <w:bookmarkStart w:id="23" w:name="_Toc26851"/>
      <w:bookmarkStart w:id="24" w:name="_Toc7951"/>
      <w:bookmarkStart w:id="25" w:name="_Toc8884"/>
      <w:r>
        <w:rPr>
          <w:rFonts w:hint="eastAsia" w:hAnsi="宋体" w:cs="宋体"/>
          <w:bCs/>
          <w:sz w:val="24"/>
        </w:rPr>
        <w:t>3、</w:t>
      </w:r>
      <w:r>
        <w:rPr>
          <w:rFonts w:hint="eastAsia" w:hAnsi="宋体"/>
          <w:sz w:val="24"/>
        </w:rPr>
        <w:t>有效营业执照副本复印件</w:t>
      </w:r>
      <w:r>
        <w:rPr>
          <w:rFonts w:hAnsi="宋体" w:cs="宋体"/>
          <w:sz w:val="24"/>
        </w:rPr>
        <w:t>等证明文件</w:t>
      </w:r>
      <w:bookmarkEnd w:id="23"/>
      <w:bookmarkEnd w:id="24"/>
      <w:bookmarkEnd w:id="25"/>
    </w:p>
    <w:p>
      <w:pPr>
        <w:pStyle w:val="28"/>
        <w:spacing w:line="400" w:lineRule="exact"/>
        <w:outlineLvl w:val="9"/>
        <w:rPr>
          <w:rFonts w:hAnsi="宋体" w:cs="宋体"/>
          <w:bCs/>
          <w:sz w:val="24"/>
        </w:rPr>
      </w:pPr>
      <w:bookmarkStart w:id="26" w:name="_Toc12586"/>
      <w:bookmarkStart w:id="27" w:name="_Toc29518"/>
      <w:bookmarkStart w:id="28" w:name="_Toc16459"/>
      <w:r>
        <w:rPr>
          <w:rFonts w:hint="eastAsia" w:hAnsi="宋体" w:cs="宋体"/>
          <w:bCs/>
          <w:sz w:val="24"/>
        </w:rPr>
        <w:t>4、</w:t>
      </w:r>
      <w:r>
        <w:rPr>
          <w:rFonts w:hint="eastAsia" w:hAnsi="宋体"/>
          <w:sz w:val="24"/>
        </w:rPr>
        <w:t>单位负责人授权书</w:t>
      </w:r>
      <w:bookmarkEnd w:id="26"/>
      <w:bookmarkEnd w:id="27"/>
      <w:bookmarkEnd w:id="28"/>
    </w:p>
    <w:p>
      <w:pPr>
        <w:pStyle w:val="28"/>
        <w:spacing w:line="400" w:lineRule="exact"/>
        <w:outlineLvl w:val="9"/>
        <w:rPr>
          <w:rFonts w:hAnsi="宋体" w:cs="宋体"/>
          <w:bCs/>
          <w:sz w:val="24"/>
        </w:rPr>
      </w:pPr>
      <w:bookmarkStart w:id="29" w:name="_Toc18454"/>
      <w:bookmarkStart w:id="30" w:name="_Toc14735"/>
      <w:bookmarkStart w:id="31" w:name="_Toc12548"/>
      <w:r>
        <w:rPr>
          <w:rFonts w:hint="eastAsia" w:hAnsi="宋体" w:cs="宋体"/>
          <w:bCs/>
          <w:sz w:val="24"/>
        </w:rPr>
        <w:t>5、</w:t>
      </w:r>
      <w:bookmarkEnd w:id="29"/>
      <w:bookmarkEnd w:id="30"/>
      <w:bookmarkEnd w:id="31"/>
      <w:r>
        <w:rPr>
          <w:rFonts w:hint="eastAsia" w:hAnsi="宋体" w:cs="宋体"/>
          <w:bCs/>
          <w:sz w:val="24"/>
        </w:rPr>
        <w:t>参加政府采购活动前3年内在经营活动中没有重大违法记录的书面声明</w:t>
      </w:r>
    </w:p>
    <w:p>
      <w:pPr>
        <w:pStyle w:val="28"/>
        <w:spacing w:line="400" w:lineRule="exact"/>
        <w:outlineLvl w:val="9"/>
        <w:rPr>
          <w:rFonts w:hAnsi="宋体"/>
          <w:sz w:val="24"/>
        </w:rPr>
      </w:pPr>
      <w:bookmarkStart w:id="32" w:name="_Toc7873"/>
      <w:bookmarkStart w:id="33" w:name="_Toc8416"/>
      <w:bookmarkStart w:id="34" w:name="_Toc19305"/>
      <w:r>
        <w:rPr>
          <w:rFonts w:hint="eastAsia" w:hAnsi="宋体" w:cs="宋体"/>
          <w:bCs/>
          <w:sz w:val="24"/>
        </w:rPr>
        <w:t>6、</w:t>
      </w:r>
      <w:bookmarkEnd w:id="32"/>
      <w:bookmarkEnd w:id="33"/>
      <w:bookmarkEnd w:id="34"/>
      <w:r>
        <w:rPr>
          <w:rFonts w:hint="eastAsia" w:hAnsi="宋体" w:cs="宋体"/>
          <w:bCs/>
          <w:sz w:val="24"/>
        </w:rPr>
        <w:t>技术商务响应承诺函</w:t>
      </w:r>
    </w:p>
    <w:p>
      <w:pPr>
        <w:pStyle w:val="28"/>
        <w:spacing w:line="400" w:lineRule="exact"/>
        <w:outlineLvl w:val="9"/>
        <w:rPr>
          <w:rFonts w:hAnsi="宋体"/>
          <w:sz w:val="24"/>
        </w:rPr>
      </w:pPr>
      <w:bookmarkStart w:id="35" w:name="_Toc15587"/>
      <w:bookmarkStart w:id="36" w:name="_Toc31771"/>
      <w:bookmarkStart w:id="37" w:name="_Toc7747"/>
      <w:r>
        <w:rPr>
          <w:rFonts w:hint="eastAsia" w:hAnsi="宋体"/>
          <w:sz w:val="24"/>
        </w:rPr>
        <w:t>7、竞价人需提供的其他材料</w:t>
      </w:r>
      <w:bookmarkEnd w:id="35"/>
      <w:bookmarkEnd w:id="36"/>
      <w:bookmarkEnd w:id="37"/>
    </w:p>
    <w:p>
      <w:pPr>
        <w:pStyle w:val="28"/>
        <w:spacing w:line="360" w:lineRule="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sectPr>
          <w:footerReference r:id="rId3" w:type="default"/>
          <w:pgSz w:w="11906" w:h="16838"/>
          <w:pgMar w:top="1247" w:right="924" w:bottom="1089" w:left="1259" w:header="851" w:footer="646" w:gutter="0"/>
          <w:cols w:space="720" w:num="1"/>
          <w:docGrid w:linePitch="312" w:charSpace="0"/>
        </w:sectPr>
      </w:pPr>
    </w:p>
    <w:p>
      <w:pPr>
        <w:widowControl/>
        <w:shd w:val="clear" w:color="auto" w:fill="FFFFFF"/>
        <w:spacing w:line="420" w:lineRule="exact"/>
        <w:rPr>
          <w:rFonts w:ascii="宋体" w:hAnsi="宋体" w:cs="宋体"/>
          <w:b/>
          <w:kern w:val="0"/>
          <w:sz w:val="28"/>
          <w:szCs w:val="28"/>
          <w:shd w:val="clear" w:color="auto" w:fill="FFFFFF"/>
          <w:lang w:bidi="ar"/>
        </w:rPr>
      </w:pPr>
    </w:p>
    <w:p>
      <w:pPr>
        <w:widowControl/>
        <w:shd w:val="clear" w:color="auto" w:fill="FFFFFF"/>
        <w:spacing w:line="420" w:lineRule="exact"/>
        <w:ind w:left="723" w:firstLine="3092" w:firstLineChars="1100"/>
        <w:rPr>
          <w:rFonts w:ascii="宋体" w:hAnsi="宋体" w:cs="宋体"/>
          <w:b/>
          <w:kern w:val="0"/>
          <w:sz w:val="28"/>
          <w:szCs w:val="28"/>
          <w:shd w:val="clear" w:color="auto" w:fill="FFFFFF"/>
          <w:lang w:bidi="ar"/>
        </w:rPr>
      </w:pPr>
      <w:bookmarkStart w:id="38" w:name="_Toc27710"/>
      <w:bookmarkStart w:id="39" w:name="_Toc14504"/>
      <w:r>
        <w:rPr>
          <w:rFonts w:hint="eastAsia" w:ascii="宋体" w:hAnsi="宋体" w:cs="宋体"/>
          <w:b/>
          <w:kern w:val="0"/>
          <w:sz w:val="28"/>
          <w:szCs w:val="28"/>
          <w:shd w:val="clear" w:color="auto" w:fill="FFFFFF"/>
          <w:lang w:bidi="ar"/>
        </w:rPr>
        <w:t>1、竞价承诺书</w:t>
      </w:r>
      <w:bookmarkEnd w:id="38"/>
      <w:bookmarkEnd w:id="39"/>
    </w:p>
    <w:p>
      <w:pPr>
        <w:widowControl/>
        <w:shd w:val="clear" w:color="auto" w:fill="FFFFFF"/>
        <w:spacing w:line="420" w:lineRule="exact"/>
        <w:jc w:val="center"/>
        <w:rPr>
          <w:rFonts w:ascii="宋体" w:hAnsi="宋体" w:cs="宋体"/>
          <w:b/>
          <w:kern w:val="0"/>
          <w:sz w:val="28"/>
          <w:szCs w:val="28"/>
          <w:shd w:val="clear" w:color="auto" w:fill="FFFFFF"/>
          <w:lang w:bidi="ar"/>
        </w:rPr>
      </w:pPr>
    </w:p>
    <w:p>
      <w:pPr>
        <w:widowControl/>
        <w:shd w:val="clear" w:color="auto" w:fill="FFFFFF"/>
        <w:spacing w:line="420" w:lineRule="exact"/>
        <w:jc w:val="center"/>
        <w:rPr>
          <w:rFonts w:ascii="宋体" w:hAnsi="宋体" w:cs="宋体"/>
          <w:b/>
          <w:kern w:val="0"/>
          <w:sz w:val="28"/>
          <w:szCs w:val="28"/>
          <w:shd w:val="clear" w:color="auto" w:fill="FFFFFF"/>
          <w:lang w:bidi="ar"/>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致：</w:t>
      </w:r>
      <w:r>
        <w:rPr>
          <w:rFonts w:hint="eastAsia" w:ascii="宋体" w:hAnsi="宋体" w:cs="宋体"/>
          <w:kern w:val="0"/>
          <w:sz w:val="24"/>
          <w:u w:val="single"/>
          <w:shd w:val="clear" w:color="auto" w:fill="FFFFFF"/>
          <w:lang w:bidi="ar"/>
        </w:rPr>
        <w:t>福建农林大学</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根据</w:t>
      </w:r>
      <w:r>
        <w:rPr>
          <w:rFonts w:hint="eastAsia" w:ascii="宋体" w:hAnsi="宋体" w:cs="宋体"/>
          <w:kern w:val="0"/>
          <w:sz w:val="24"/>
          <w:u w:val="single"/>
          <w:shd w:val="clear" w:color="auto" w:fill="FFFFFF"/>
          <w:lang w:bidi="ar"/>
        </w:rPr>
        <w:t>         </w:t>
      </w:r>
      <w:r>
        <w:rPr>
          <w:rStyle w:val="29"/>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项目（项目编号：</w:t>
      </w:r>
      <w:r>
        <w:rPr>
          <w:rFonts w:hint="eastAsia" w:ascii="宋体" w:hAnsi="宋体" w:cs="宋体"/>
          <w:kern w:val="0"/>
          <w:sz w:val="24"/>
          <w:u w:val="single"/>
          <w:shd w:val="clear" w:color="auto" w:fill="FFFFFF"/>
          <w:lang w:bidi="ar"/>
        </w:rPr>
        <w:t>        </w:t>
      </w:r>
      <w:r>
        <w:rPr>
          <w:rStyle w:val="29"/>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）网上竞价文件要求，我公司郑重承诺：</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一、保证依据本竞价文件要求和我公司竞价书的承诺，及时与用户签订供货合同，按竞价响应文件承诺的价格及时向采购单位提供符合要求的产品和服务。</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二、本项目竞价文件、我公司提交的响应文件包括对售后服务的承诺对我公司具有同等约束力。</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三、以</w:t>
      </w:r>
      <w:r>
        <w:rPr>
          <w:rFonts w:hint="eastAsia" w:ascii="宋体" w:hAnsi="宋体" w:cs="宋体"/>
          <w:kern w:val="0"/>
          <w:sz w:val="24"/>
          <w:u w:val="single"/>
          <w:shd w:val="clear" w:color="auto" w:fill="FFFFFF"/>
          <w:lang w:bidi="ar"/>
        </w:rPr>
        <w:t>      </w:t>
      </w:r>
      <w:r>
        <w:rPr>
          <w:rStyle w:val="29"/>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方式提供的金额为人民币</w:t>
      </w:r>
      <w:r>
        <w:rPr>
          <w:rFonts w:hint="eastAsia" w:ascii="宋体" w:hAnsi="宋体" w:cs="宋体"/>
          <w:kern w:val="0"/>
          <w:sz w:val="24"/>
          <w:u w:val="single"/>
          <w:shd w:val="clear" w:color="auto" w:fill="FFFFFF"/>
          <w:lang w:bidi="ar"/>
        </w:rPr>
        <w:t>       </w:t>
      </w:r>
      <w:r>
        <w:rPr>
          <w:rStyle w:val="29"/>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元的保证金，已到指定账户。</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四、获得成交供货资格后若无法按约定条款履行义务或有拆、换设备及零件，贵方有权取消我方成交资格，完全接受按采购有关法规对我方的处罚。</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五、我方同意提供按照贵方可能要求的与其竞价有关的一切数据或资料。完全理解贵方不一定要接受收到的任何竞价。</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竞价人（</w:t>
      </w:r>
      <w:r>
        <w:rPr>
          <w:rFonts w:hint="eastAsia" w:ascii="宋体" w:hAnsi="宋体" w:cs="宋体"/>
          <w:sz w:val="24"/>
        </w:rPr>
        <w:t>全称并加盖竞价人公章</w:t>
      </w:r>
      <w:r>
        <w:rPr>
          <w:rFonts w:hint="eastAsia" w:ascii="宋体" w:hAnsi="宋体" w:cs="宋体"/>
          <w:kern w:val="0"/>
          <w:sz w:val="24"/>
          <w:shd w:val="clear" w:color="auto" w:fill="FFFFFF"/>
          <w:lang w:bidi="ar"/>
        </w:rPr>
        <w:t>）：</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p>
    <w:p>
      <w:pPr>
        <w:widowControl/>
        <w:shd w:val="clear" w:color="auto" w:fill="FFFFFF"/>
        <w:spacing w:line="420" w:lineRule="exact"/>
        <w:jc w:val="left"/>
        <w:rPr>
          <w:rStyle w:val="29"/>
          <w:rFonts w:ascii="宋体" w:hAnsi="宋体" w:cs="宋体"/>
          <w:kern w:val="0"/>
          <w:sz w:val="24"/>
          <w:shd w:val="clear" w:color="auto" w:fill="FFFFFF"/>
          <w:lang w:bidi="ar"/>
        </w:rPr>
      </w:pPr>
      <w:r>
        <w:rPr>
          <w:rFonts w:hint="eastAsia" w:ascii="宋体" w:hAnsi="宋体" w:cs="宋体"/>
          <w:kern w:val="0"/>
          <w:sz w:val="24"/>
          <w:shd w:val="clear" w:color="auto" w:fill="FFFFFF"/>
          <w:lang w:bidi="ar"/>
        </w:rPr>
        <w:t>电话：</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r>
        <w:rPr>
          <w:rStyle w:val="29"/>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传真：</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竞价人单位负责人(或竞价人代表)签字：</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日期：</w:t>
      </w:r>
      <w:r>
        <w:rPr>
          <w:rFonts w:hint="eastAsia" w:ascii="宋体" w:hAnsi="宋体" w:cs="宋体"/>
          <w:kern w:val="0"/>
          <w:sz w:val="24"/>
          <w:u w:val="single"/>
          <w:shd w:val="clear" w:color="auto" w:fill="FFFFFF"/>
          <w:lang w:bidi="ar"/>
        </w:rPr>
        <w:t>    </w:t>
      </w:r>
      <w:r>
        <w:rPr>
          <w:rStyle w:val="29"/>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年   </w:t>
      </w:r>
      <w:r>
        <w:rPr>
          <w:rStyle w:val="29"/>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月  </w:t>
      </w:r>
      <w:r>
        <w:rPr>
          <w:rStyle w:val="29"/>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8"/>
        <w:spacing w:line="360" w:lineRule="auto"/>
        <w:jc w:val="center"/>
        <w:outlineLvl w:val="9"/>
        <w:rPr>
          <w:rFonts w:hAnsi="宋体" w:cs="宋体"/>
          <w:b/>
          <w:szCs w:val="28"/>
        </w:rPr>
      </w:pPr>
    </w:p>
    <w:p>
      <w:pPr>
        <w:pStyle w:val="28"/>
        <w:spacing w:line="360" w:lineRule="auto"/>
        <w:jc w:val="center"/>
        <w:outlineLvl w:val="9"/>
        <w:rPr>
          <w:rFonts w:hAnsi="宋体" w:cs="宋体"/>
          <w:b/>
          <w:szCs w:val="28"/>
        </w:rPr>
      </w:pPr>
      <w:bookmarkStart w:id="40" w:name="_Toc17628"/>
      <w:bookmarkStart w:id="41" w:name="_Toc26806"/>
      <w:bookmarkStart w:id="42" w:name="_Toc15092"/>
      <w:r>
        <w:rPr>
          <w:rFonts w:hint="eastAsia" w:hAnsi="宋体" w:cs="宋体"/>
          <w:b/>
          <w:szCs w:val="28"/>
        </w:rPr>
        <w:t>2、竞价人的资格声明</w:t>
      </w:r>
      <w:bookmarkEnd w:id="40"/>
      <w:bookmarkEnd w:id="41"/>
      <w:bookmarkEnd w:id="42"/>
    </w:p>
    <w:p>
      <w:pPr>
        <w:pStyle w:val="28"/>
        <w:spacing w:line="360" w:lineRule="auto"/>
        <w:jc w:val="center"/>
        <w:outlineLvl w:val="9"/>
        <w:rPr>
          <w:rFonts w:hAnsi="宋体" w:cs="宋体"/>
          <w:b/>
          <w:szCs w:val="28"/>
        </w:rPr>
      </w:pPr>
    </w:p>
    <w:p>
      <w:pPr>
        <w:pStyle w:val="28"/>
        <w:spacing w:line="360" w:lineRule="auto"/>
        <w:jc w:val="center"/>
        <w:outlineLvl w:val="9"/>
        <w:rPr>
          <w:rFonts w:hAnsi="宋体" w:cs="宋体"/>
          <w:b/>
          <w:szCs w:val="28"/>
        </w:rPr>
      </w:pPr>
    </w:p>
    <w:p>
      <w:pPr>
        <w:spacing w:line="380" w:lineRule="exact"/>
        <w:rPr>
          <w:rFonts w:ascii="宋体" w:hAnsi="宋体"/>
          <w:sz w:val="24"/>
        </w:rPr>
      </w:pPr>
      <w:r>
        <w:rPr>
          <w:rFonts w:hint="eastAsia" w:ascii="宋体" w:hAnsi="宋体"/>
          <w:sz w:val="24"/>
        </w:rPr>
        <w:t>致：</w:t>
      </w:r>
      <w:r>
        <w:rPr>
          <w:rFonts w:hint="eastAsia" w:ascii="宋体" w:hAnsi="宋体"/>
          <w:sz w:val="24"/>
          <w:u w:val="single"/>
        </w:rPr>
        <w:t>福建农林大学</w:t>
      </w:r>
    </w:p>
    <w:p>
      <w:pPr>
        <w:spacing w:line="380" w:lineRule="exact"/>
        <w:rPr>
          <w:rFonts w:ascii="宋体" w:hAnsi="宋体"/>
          <w:sz w:val="24"/>
        </w:rPr>
      </w:pPr>
    </w:p>
    <w:p>
      <w:pPr>
        <w:spacing w:line="380" w:lineRule="exact"/>
        <w:ind w:firstLine="480" w:firstLineChars="200"/>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 xml:space="preserve"> （项目编号）竞价邀请，本签字人愿意参加竞价，提供竞价文件“竞价内容及要求”中规定的</w:t>
      </w:r>
      <w:r>
        <w:rPr>
          <w:rFonts w:hint="eastAsia" w:ascii="宋体" w:hAnsi="宋体"/>
          <w:sz w:val="24"/>
          <w:u w:val="single"/>
        </w:rPr>
        <w:t xml:space="preserve">          </w:t>
      </w:r>
      <w:r>
        <w:rPr>
          <w:rFonts w:hint="eastAsia" w:ascii="宋体" w:hAnsi="宋体"/>
          <w:sz w:val="24"/>
        </w:rPr>
        <w:t>（合同包/品目号）</w:t>
      </w:r>
      <w:r>
        <w:rPr>
          <w:rFonts w:hint="eastAsia" w:ascii="宋体" w:hAnsi="宋体"/>
          <w:sz w:val="24"/>
          <w:u w:val="single"/>
        </w:rPr>
        <w:t xml:space="preserve">         </w:t>
      </w:r>
      <w:r>
        <w:rPr>
          <w:rFonts w:hint="eastAsia" w:ascii="宋体" w:hAnsi="宋体"/>
          <w:sz w:val="24"/>
        </w:rPr>
        <w:t>（项目名称），并证明提交的下列文件和说明是准确的和真实的。</w:t>
      </w:r>
      <w:r>
        <w:rPr>
          <w:rFonts w:hint="eastAsia" w:ascii="宋体" w:hAnsi="宋体"/>
          <w:sz w:val="24"/>
        </w:rPr>
        <w:cr/>
      </w:r>
    </w:p>
    <w:p>
      <w:pPr>
        <w:spacing w:line="380" w:lineRule="exact"/>
        <w:ind w:firstLine="480" w:firstLineChars="200"/>
        <w:rPr>
          <w:rFonts w:ascii="宋体" w:hAnsi="宋体"/>
          <w:sz w:val="24"/>
        </w:rPr>
      </w:pPr>
      <w:r>
        <w:rPr>
          <w:rFonts w:hint="eastAsia" w:ascii="宋体" w:hAnsi="宋体"/>
          <w:sz w:val="24"/>
        </w:rPr>
        <w:t>1．本签字人确认资格文件中的说明以及报名材料中所有提交的文件和材料是真实的、准确的。</w:t>
      </w:r>
    </w:p>
    <w:p>
      <w:pPr>
        <w:spacing w:line="380" w:lineRule="exact"/>
        <w:ind w:firstLine="480" w:firstLineChars="200"/>
        <w:rPr>
          <w:rFonts w:ascii="宋体" w:hAnsi="宋体"/>
          <w:sz w:val="24"/>
        </w:rPr>
      </w:pPr>
      <w:r>
        <w:rPr>
          <w:rFonts w:hint="eastAsia" w:ascii="宋体" w:hAnsi="宋体"/>
          <w:sz w:val="24"/>
        </w:rPr>
        <w:t>2．我方的资格声明一份。</w:t>
      </w:r>
    </w:p>
    <w:p>
      <w:pPr>
        <w:pStyle w:val="28"/>
        <w:spacing w:line="360" w:lineRule="auto"/>
        <w:jc w:val="center"/>
        <w:outlineLvl w:val="9"/>
        <w:rPr>
          <w:rFonts w:hAnsi="宋体" w:cs="宋体"/>
          <w:b/>
          <w:szCs w:val="28"/>
        </w:rPr>
      </w:pPr>
    </w:p>
    <w:p>
      <w:pPr>
        <w:pStyle w:val="28"/>
        <w:spacing w:line="360" w:lineRule="auto"/>
        <w:jc w:val="center"/>
        <w:outlineLvl w:val="9"/>
        <w:rPr>
          <w:rFonts w:hAnsi="宋体" w:cs="宋体"/>
          <w:b/>
          <w:szCs w:val="28"/>
        </w:rPr>
      </w:pPr>
    </w:p>
    <w:p>
      <w:pPr>
        <w:spacing w:line="360" w:lineRule="auto"/>
        <w:ind w:firstLine="3240" w:firstLineChars="1350"/>
        <w:jc w:val="left"/>
        <w:rPr>
          <w:rFonts w:ascii="宋体" w:hAnsi="宋体"/>
          <w:sz w:val="24"/>
        </w:rPr>
      </w:pPr>
      <w:r>
        <w:rPr>
          <w:rFonts w:hint="eastAsia" w:ascii="宋体" w:hAnsi="宋体"/>
          <w:sz w:val="24"/>
        </w:rPr>
        <w:t>竞价人（全称并加盖公章）：</w:t>
      </w:r>
    </w:p>
    <w:p>
      <w:pPr>
        <w:spacing w:line="360" w:lineRule="auto"/>
        <w:ind w:firstLine="3240" w:firstLineChars="1350"/>
        <w:jc w:val="left"/>
        <w:rPr>
          <w:rFonts w:ascii="宋体" w:hAnsi="宋体"/>
          <w:sz w:val="24"/>
        </w:rPr>
      </w:pPr>
      <w:r>
        <w:rPr>
          <w:rFonts w:hint="eastAsia" w:ascii="宋体" w:hAnsi="宋体"/>
          <w:sz w:val="24"/>
        </w:rPr>
        <w:t>竞价人代表签字：</w:t>
      </w:r>
    </w:p>
    <w:p>
      <w:pPr>
        <w:spacing w:line="360" w:lineRule="auto"/>
        <w:ind w:firstLine="3240" w:firstLineChars="1350"/>
        <w:jc w:val="left"/>
        <w:rPr>
          <w:rFonts w:ascii="宋体" w:hAnsi="宋体"/>
          <w:sz w:val="24"/>
        </w:rPr>
      </w:pPr>
      <w:r>
        <w:rPr>
          <w:rFonts w:hint="eastAsia" w:ascii="宋体" w:hAnsi="宋体"/>
          <w:sz w:val="24"/>
        </w:rPr>
        <w:t>日期：</w:t>
      </w:r>
    </w:p>
    <w:p>
      <w:pPr>
        <w:pStyle w:val="28"/>
        <w:spacing w:line="360" w:lineRule="auto"/>
        <w:jc w:val="center"/>
        <w:outlineLvl w:val="9"/>
        <w:rPr>
          <w:rFonts w:hAnsi="宋体" w:cs="宋体"/>
          <w:b/>
          <w:szCs w:val="28"/>
        </w:rPr>
        <w:sectPr>
          <w:pgSz w:w="11906" w:h="16838"/>
          <w:pgMar w:top="1247" w:right="924" w:bottom="1089" w:left="1259" w:header="851" w:footer="646" w:gutter="0"/>
          <w:cols w:space="720" w:num="1"/>
          <w:docGrid w:linePitch="312" w:charSpace="0"/>
        </w:sectPr>
      </w:pPr>
    </w:p>
    <w:p>
      <w:pPr>
        <w:pStyle w:val="28"/>
        <w:spacing w:line="360" w:lineRule="auto"/>
        <w:jc w:val="center"/>
        <w:outlineLvl w:val="9"/>
        <w:rPr>
          <w:rFonts w:hAnsi="宋体" w:cs="宋体"/>
          <w:b/>
          <w:szCs w:val="28"/>
        </w:rPr>
        <w:sectPr>
          <w:pgSz w:w="11906" w:h="16838"/>
          <w:pgMar w:top="1247" w:right="924" w:bottom="1089" w:left="1259" w:header="851" w:footer="646" w:gutter="0"/>
          <w:cols w:space="720" w:num="1"/>
          <w:docGrid w:linePitch="312" w:charSpace="0"/>
        </w:sectPr>
      </w:pPr>
      <w:bookmarkStart w:id="43" w:name="_Toc5351"/>
      <w:bookmarkStart w:id="44" w:name="_Toc7234"/>
      <w:bookmarkStart w:id="45" w:name="_Toc18639"/>
      <w:r>
        <w:rPr>
          <w:rFonts w:hint="eastAsia" w:hAnsi="宋体" w:cs="宋体"/>
          <w:b/>
          <w:szCs w:val="28"/>
        </w:rPr>
        <w:t>3、有效营业执照副本复印件等证明文件</w:t>
      </w:r>
      <w:bookmarkEnd w:id="43"/>
      <w:bookmarkEnd w:id="44"/>
      <w:bookmarkEnd w:id="45"/>
    </w:p>
    <w:p>
      <w:pPr>
        <w:pStyle w:val="28"/>
        <w:spacing w:line="400" w:lineRule="exact"/>
        <w:jc w:val="center"/>
        <w:outlineLvl w:val="9"/>
        <w:rPr>
          <w:rFonts w:hAnsi="宋体" w:cs="宋体"/>
          <w:b/>
          <w:szCs w:val="28"/>
        </w:rPr>
      </w:pPr>
      <w:bookmarkStart w:id="46" w:name="_Toc12850"/>
      <w:bookmarkStart w:id="47" w:name="_Toc18551"/>
      <w:bookmarkStart w:id="48" w:name="_Toc11585"/>
      <w:r>
        <w:rPr>
          <w:rFonts w:hint="eastAsia" w:hAnsi="宋体" w:cs="宋体"/>
          <w:b/>
          <w:szCs w:val="28"/>
        </w:rPr>
        <w:t>4、单位负责人授权书</w:t>
      </w:r>
      <w:bookmarkEnd w:id="46"/>
      <w:bookmarkEnd w:id="47"/>
      <w:bookmarkEnd w:id="48"/>
    </w:p>
    <w:p>
      <w:pPr>
        <w:pStyle w:val="17"/>
        <w:spacing w:before="0" w:beforeAutospacing="0" w:after="0" w:afterAutospacing="0" w:line="400" w:lineRule="exact"/>
      </w:pPr>
      <w:r>
        <w:rPr>
          <w:rFonts w:hint="eastAsia"/>
        </w:rPr>
        <w:t>致：</w:t>
      </w:r>
      <w:r>
        <w:rPr>
          <w:rFonts w:hint="eastAsia"/>
          <w:u w:val="single"/>
        </w:rPr>
        <w:t>福建农林大学</w:t>
      </w:r>
    </w:p>
    <w:p>
      <w:pPr>
        <w:pStyle w:val="17"/>
        <w:spacing w:before="0" w:beforeAutospacing="0" w:after="0" w:afterAutospacing="0" w:line="40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（填写“竞价人代表全名”）</w:t>
      </w:r>
      <w:r>
        <w:rPr>
          <w:rFonts w:hint="eastAsia"/>
        </w:rPr>
        <w:t>为竞价人代表，代表我方参加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报名、竞价、递交响应文件、签约等。竞价人代表在竞价过程中所签署的一切文件和处理与之有关的一切事务，我方均予以认可并对此承担责任。</w:t>
      </w:r>
    </w:p>
    <w:p>
      <w:pPr>
        <w:pStyle w:val="17"/>
        <w:spacing w:before="0" w:beforeAutospacing="0" w:after="0" w:afterAutospacing="0" w:line="400" w:lineRule="exact"/>
        <w:ind w:firstLine="336"/>
      </w:pPr>
      <w:r>
        <w:rPr>
          <w:rFonts w:hint="eastAsia"/>
        </w:rPr>
        <w:t>竞价人代表无转委权。特此授权。</w:t>
      </w:r>
    </w:p>
    <w:p>
      <w:pPr>
        <w:pStyle w:val="17"/>
        <w:spacing w:before="0" w:beforeAutospacing="0" w:after="0" w:afterAutospacing="0" w:line="400" w:lineRule="exact"/>
        <w:jc w:val="center"/>
        <w:outlineLvl w:val="0"/>
      </w:pPr>
      <w:bookmarkStart w:id="49" w:name="_Toc29826"/>
      <w:bookmarkStart w:id="50" w:name="_Toc22385"/>
      <w:bookmarkStart w:id="51" w:name="_Toc7255"/>
      <w:r>
        <w:rPr>
          <w:rFonts w:hint="eastAsia"/>
        </w:rPr>
        <w:t>（以下无正文）</w:t>
      </w:r>
      <w:bookmarkEnd w:id="49"/>
      <w:bookmarkEnd w:id="50"/>
      <w:bookmarkEnd w:id="51"/>
    </w:p>
    <w:p>
      <w:pPr>
        <w:pStyle w:val="17"/>
        <w:spacing w:before="0" w:beforeAutospacing="0" w:after="0" w:afterAutospacing="0" w:line="400" w:lineRule="exact"/>
      </w:pPr>
      <w:r>
        <w:rPr>
          <w:rFonts w:hint="eastAsia"/>
        </w:rPr>
        <w:t> </w:t>
      </w:r>
    </w:p>
    <w:p>
      <w:pPr>
        <w:pStyle w:val="17"/>
        <w:spacing w:before="0" w:beforeAutospacing="0" w:after="0" w:afterAutospacing="0" w:line="40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7"/>
        <w:spacing w:before="0" w:beforeAutospacing="0" w:after="0" w:afterAutospacing="0" w:line="400" w:lineRule="exact"/>
        <w:rPr>
          <w:u w:val="single"/>
        </w:rPr>
      </w:pPr>
      <w:r>
        <w:rPr>
          <w:rFonts w:hint="eastAsia"/>
        </w:rPr>
        <w:t>竞价人代表：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7"/>
        <w:spacing w:before="0" w:beforeAutospacing="0" w:after="0" w:afterAutospacing="0" w:line="400" w:lineRule="exact"/>
        <w:rPr>
          <w:u w:val="single"/>
        </w:rPr>
      </w:pPr>
    </w:p>
    <w:p>
      <w:pPr>
        <w:pStyle w:val="17"/>
        <w:spacing w:before="0" w:beforeAutospacing="0" w:after="0" w:afterAutospacing="0" w:line="400" w:lineRule="exact"/>
      </w:pPr>
      <w:r>
        <w:rPr>
          <w:rFonts w:hint="eastAsia"/>
        </w:rPr>
        <w:t>授权方</w:t>
      </w:r>
    </w:p>
    <w:p>
      <w:pPr>
        <w:pStyle w:val="17"/>
        <w:spacing w:before="0" w:beforeAutospacing="0" w:after="0" w:afterAutospacing="0" w:line="400" w:lineRule="exact"/>
      </w:pPr>
      <w:r>
        <w:rPr>
          <w:rFonts w:hint="eastAsia"/>
        </w:rPr>
        <w:t>竞价人：</w:t>
      </w:r>
      <w:r>
        <w:rPr>
          <w:rFonts w:hint="eastAsia"/>
          <w:u w:val="single"/>
        </w:rPr>
        <w:t>（全称并加盖单位公章）</w:t>
      </w:r>
    </w:p>
    <w:p>
      <w:pPr>
        <w:pStyle w:val="17"/>
        <w:spacing w:before="0" w:beforeAutospacing="0" w:after="0" w:afterAutospacing="0" w:line="400" w:lineRule="exact"/>
      </w:pPr>
      <w:r>
        <w:rPr>
          <w:rFonts w:hint="eastAsia"/>
        </w:rPr>
        <w:t>单位负责人签字或盖章：</w:t>
      </w:r>
      <w:r>
        <w:rPr>
          <w:rFonts w:hint="eastAsia"/>
          <w:u w:val="single"/>
        </w:rPr>
        <w:t>                   </w:t>
      </w:r>
    </w:p>
    <w:p>
      <w:pPr>
        <w:pStyle w:val="17"/>
        <w:spacing w:before="0" w:beforeAutospacing="0" w:after="0" w:afterAutospacing="0" w:line="400" w:lineRule="exact"/>
      </w:pPr>
      <w:r>
        <w:rPr>
          <w:rFonts w:hint="eastAsia"/>
        </w:rPr>
        <w:t> </w:t>
      </w:r>
    </w:p>
    <w:p>
      <w:pPr>
        <w:pStyle w:val="17"/>
        <w:spacing w:before="0" w:beforeAutospacing="0" w:after="0" w:afterAutospacing="0" w:line="400" w:lineRule="exact"/>
      </w:pPr>
      <w:r>
        <w:rPr>
          <w:rFonts w:hint="eastAsia"/>
        </w:rPr>
        <w:t>接受授权方</w:t>
      </w:r>
    </w:p>
    <w:p>
      <w:pPr>
        <w:pStyle w:val="17"/>
        <w:spacing w:before="0" w:beforeAutospacing="0" w:after="0" w:afterAutospacing="0" w:line="400" w:lineRule="exact"/>
      </w:pPr>
      <w:r>
        <w:rPr>
          <w:rFonts w:hint="eastAsia"/>
        </w:rPr>
        <w:t>竞价人代表签字：</w:t>
      </w:r>
      <w:r>
        <w:rPr>
          <w:rFonts w:hint="eastAsia"/>
          <w:u w:val="single"/>
        </w:rPr>
        <w:t>                   </w:t>
      </w:r>
    </w:p>
    <w:p>
      <w:pPr>
        <w:pStyle w:val="17"/>
        <w:spacing w:before="0" w:beforeAutospacing="0" w:after="0" w:afterAutospacing="0" w:line="400" w:lineRule="exact"/>
      </w:pPr>
      <w:r>
        <w:rPr>
          <w:rFonts w:hint="eastAsia"/>
        </w:rPr>
        <w:t> </w:t>
      </w:r>
    </w:p>
    <w:p>
      <w:pPr>
        <w:pStyle w:val="17"/>
        <w:spacing w:before="0" w:beforeAutospacing="0" w:after="0" w:afterAutospacing="0" w:line="40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7"/>
        <w:spacing w:before="0" w:beforeAutospacing="0" w:after="0" w:afterAutospacing="0" w:line="400" w:lineRule="exact"/>
      </w:pPr>
      <w:r>
        <w:rPr>
          <w:rFonts w:hint="eastAsia"/>
        </w:rPr>
        <w:t>附：单位负责人、竞价人代表的身份证正反面复印件</w:t>
      </w:r>
    </w:p>
    <w:tbl>
      <w:tblPr>
        <w:tblStyle w:val="1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9" w:hRule="atLeast"/>
          <w:tblCellSpacing w:w="15" w:type="dxa"/>
          <w:jc w:val="center"/>
        </w:trPr>
        <w:tc>
          <w:tcPr>
            <w:tcW w:w="6560" w:type="dxa"/>
            <w:tcMar>
              <w:top w:w="0" w:type="dxa"/>
              <w:left w:w="84" w:type="dxa"/>
              <w:bottom w:w="0" w:type="dxa"/>
              <w:right w:w="84" w:type="dxa"/>
            </w:tcMar>
            <w:vAlign w:val="center"/>
          </w:tcPr>
          <w:p>
            <w:pPr>
              <w:pStyle w:val="17"/>
              <w:spacing w:before="0" w:beforeAutospacing="0" w:after="0" w:afterAutospacing="0" w:line="400" w:lineRule="exact"/>
              <w:jc w:val="center"/>
            </w:pPr>
            <w:r>
              <w:rPr>
                <w:rStyle w:val="21"/>
                <w:rFonts w:hint="eastAsia"/>
              </w:rPr>
              <w:t> </w:t>
            </w:r>
          </w:p>
          <w:p>
            <w:pPr>
              <w:pStyle w:val="17"/>
              <w:spacing w:before="0" w:beforeAutospacing="0" w:after="0" w:afterAutospacing="0" w:line="400" w:lineRule="exact"/>
              <w:jc w:val="center"/>
            </w:pPr>
            <w:r>
              <w:rPr>
                <w:rStyle w:val="21"/>
                <w:rFonts w:hint="eastAsia"/>
              </w:rPr>
              <w:t>要求：真实有效且内容完整、清晰、整洁。</w:t>
            </w:r>
          </w:p>
          <w:p>
            <w:pPr>
              <w:pStyle w:val="17"/>
              <w:spacing w:before="0" w:beforeAutospacing="0" w:after="0" w:afterAutospacing="0" w:line="400" w:lineRule="exact"/>
              <w:jc w:val="center"/>
            </w:pPr>
            <w:r>
              <w:rPr>
                <w:rStyle w:val="21"/>
                <w:rFonts w:hint="eastAsia"/>
              </w:rPr>
              <w:t> </w:t>
            </w:r>
          </w:p>
        </w:tc>
      </w:tr>
    </w:tbl>
    <w:p>
      <w:pPr>
        <w:spacing w:line="400" w:lineRule="exact"/>
        <w:rPr>
          <w:rFonts w:ascii="宋体" w:hAnsi="宋体" w:cs="宋体"/>
          <w:sz w:val="24"/>
        </w:rPr>
      </w:pPr>
      <w:r>
        <w:rPr>
          <w:rFonts w:hint="eastAsia" w:ascii="宋体" w:hAnsi="宋体" w:cs="宋体"/>
          <w:sz w:val="24"/>
        </w:rPr>
        <w:t>注：</w:t>
      </w:r>
    </w:p>
    <w:p>
      <w:pPr>
        <w:spacing w:line="400" w:lineRule="exact"/>
        <w:ind w:firstLine="480" w:firstLineChars="200"/>
        <w:rPr>
          <w:rFonts w:ascii="宋体" w:hAnsi="宋体" w:cs="宋体"/>
          <w:bCs/>
          <w:kern w:val="0"/>
          <w:sz w:val="24"/>
        </w:rPr>
      </w:pPr>
      <w:r>
        <w:rPr>
          <w:rFonts w:hint="eastAsia" w:ascii="宋体" w:hAnsi="宋体" w:cs="宋体"/>
          <w:sz w:val="24"/>
        </w:rPr>
        <w:t>1、单位负责人（单位负责人）身份证复印件、被授权人身份证复印件须</w:t>
      </w:r>
      <w:r>
        <w:rPr>
          <w:rFonts w:hint="eastAsia" w:ascii="宋体" w:hAnsi="宋体" w:cs="宋体"/>
          <w:bCs/>
          <w:kern w:val="0"/>
          <w:sz w:val="24"/>
        </w:rPr>
        <w:t>加盖单位公章。</w:t>
      </w:r>
    </w:p>
    <w:p>
      <w:pPr>
        <w:spacing w:line="400" w:lineRule="exact"/>
        <w:ind w:firstLine="420"/>
        <w:rPr>
          <w:rFonts w:hAnsi="宋体" w:cs="宋体"/>
          <w:b/>
          <w:szCs w:val="28"/>
        </w:rPr>
        <w:sectPr>
          <w:pgSz w:w="11906" w:h="16838"/>
          <w:pgMar w:top="1417" w:right="1417" w:bottom="1417" w:left="1417" w:header="851" w:footer="646" w:gutter="0"/>
          <w:cols w:space="720" w:num="1"/>
          <w:docGrid w:linePitch="312" w:charSpace="0"/>
        </w:sectPr>
      </w:pPr>
      <w:r>
        <w:rPr>
          <w:rFonts w:hint="eastAsia" w:ascii="宋体" w:hAnsi="宋体" w:cs="宋体"/>
          <w:bCs/>
          <w:kern w:val="0"/>
          <w:sz w:val="24"/>
        </w:rPr>
        <w:t>2、</w:t>
      </w:r>
      <w:r>
        <w:rPr>
          <w:rFonts w:ascii="宋体" w:hAnsi="宋体" w:cs="宋体"/>
          <w:bCs/>
          <w:kern w:val="0"/>
          <w:sz w:val="24"/>
        </w:rPr>
        <w:t>企业、事业单位和社会团体法人的“单位负责人”指</w:t>
      </w:r>
      <w:r>
        <w:rPr>
          <w:rFonts w:hint="eastAsia" w:ascii="宋体" w:hAnsi="宋体" w:cs="宋体"/>
          <w:bCs/>
          <w:kern w:val="0"/>
          <w:sz w:val="24"/>
        </w:rPr>
        <w:t>单位负责人</w:t>
      </w:r>
      <w:r>
        <w:rPr>
          <w:rFonts w:ascii="宋体" w:hAnsi="宋体" w:cs="宋体"/>
          <w:bCs/>
          <w:kern w:val="0"/>
          <w:sz w:val="24"/>
        </w:rPr>
        <w:t>，即与实际提交的“营业执照等证明文件”载明的一致。以非法人身份参加</w:t>
      </w:r>
      <w:r>
        <w:rPr>
          <w:rFonts w:hint="eastAsia" w:ascii="宋体" w:hAnsi="宋体" w:cs="宋体"/>
          <w:bCs/>
          <w:kern w:val="0"/>
          <w:sz w:val="24"/>
        </w:rPr>
        <w:t>报价</w:t>
      </w:r>
      <w:r>
        <w:rPr>
          <w:rFonts w:ascii="宋体" w:hAnsi="宋体" w:cs="宋体"/>
          <w:bCs/>
          <w:kern w:val="0"/>
          <w:sz w:val="24"/>
        </w:rPr>
        <w:t>的，“单位负责人”指代表单位行使职权的主要负责人，即与实际提交的“营业执照等证明文件”载明的一致。</w:t>
      </w:r>
      <w:r>
        <w:rPr>
          <w:rFonts w:hint="eastAsia" w:ascii="宋体" w:hAnsi="宋体" w:cs="宋体"/>
          <w:bCs/>
          <w:kern w:val="0"/>
          <w:sz w:val="24"/>
        </w:rPr>
        <w:t>竞价人</w:t>
      </w:r>
      <w:r>
        <w:rPr>
          <w:rFonts w:ascii="宋体" w:hAnsi="宋体" w:cs="宋体"/>
          <w:bCs/>
          <w:kern w:val="0"/>
          <w:sz w:val="24"/>
        </w:rPr>
        <w:t>（自然人除外）：若</w:t>
      </w:r>
      <w:r>
        <w:rPr>
          <w:rFonts w:hint="eastAsia" w:ascii="宋体" w:hAnsi="宋体" w:cs="宋体"/>
          <w:bCs/>
          <w:kern w:val="0"/>
          <w:sz w:val="24"/>
        </w:rPr>
        <w:t>竞价人代表</w:t>
      </w:r>
      <w:r>
        <w:rPr>
          <w:rFonts w:ascii="宋体" w:hAnsi="宋体" w:cs="宋体"/>
          <w:bCs/>
          <w:kern w:val="0"/>
          <w:sz w:val="24"/>
        </w:rPr>
        <w:t>为单位负责人授权的委托代理人，应提供本授权书；若</w:t>
      </w:r>
      <w:r>
        <w:rPr>
          <w:rFonts w:hint="eastAsia" w:ascii="宋体" w:hAnsi="宋体" w:cs="宋体"/>
          <w:bCs/>
          <w:kern w:val="0"/>
          <w:sz w:val="24"/>
        </w:rPr>
        <w:t>竞价人代表</w:t>
      </w:r>
      <w:r>
        <w:rPr>
          <w:rFonts w:ascii="宋体" w:hAnsi="宋体" w:cs="宋体"/>
          <w:bCs/>
          <w:kern w:val="0"/>
          <w:sz w:val="24"/>
        </w:rPr>
        <w:t>为单位负责人，应在此项下提交其身份证正反面复印件，可不提供本授权书。</w:t>
      </w:r>
    </w:p>
    <w:p>
      <w:pPr>
        <w:pStyle w:val="28"/>
        <w:spacing w:line="360" w:lineRule="auto"/>
        <w:jc w:val="center"/>
        <w:outlineLvl w:val="9"/>
        <w:rPr>
          <w:rFonts w:hAnsi="宋体" w:cs="宋体"/>
          <w:b/>
          <w:szCs w:val="28"/>
        </w:rPr>
      </w:pPr>
      <w:bookmarkStart w:id="52" w:name="_Toc24826"/>
      <w:bookmarkStart w:id="53" w:name="_Toc15180"/>
      <w:bookmarkStart w:id="54" w:name="_Toc6423"/>
      <w:r>
        <w:rPr>
          <w:rFonts w:hint="eastAsia" w:hAnsi="宋体" w:cs="宋体"/>
          <w:b/>
          <w:szCs w:val="28"/>
        </w:rPr>
        <w:t>5、</w:t>
      </w:r>
      <w:bookmarkEnd w:id="52"/>
      <w:bookmarkEnd w:id="53"/>
      <w:bookmarkEnd w:id="54"/>
      <w:r>
        <w:rPr>
          <w:rFonts w:hint="eastAsia" w:hAnsi="宋体" w:cs="宋体"/>
          <w:b/>
          <w:szCs w:val="28"/>
        </w:rPr>
        <w:t>参加政府采购活动前3年内在经营活动中没有重大违法记录的书面声明</w:t>
      </w:r>
    </w:p>
    <w:p>
      <w:pPr>
        <w:pStyle w:val="28"/>
        <w:spacing w:line="360" w:lineRule="auto"/>
        <w:jc w:val="center"/>
        <w:outlineLvl w:val="9"/>
        <w:rPr>
          <w:rFonts w:hAnsi="宋体" w:cs="宋体"/>
          <w:b/>
          <w:szCs w:val="28"/>
        </w:rPr>
      </w:pPr>
    </w:p>
    <w:p>
      <w:pPr>
        <w:pStyle w:val="28"/>
        <w:spacing w:line="360" w:lineRule="auto"/>
        <w:jc w:val="center"/>
        <w:outlineLvl w:val="9"/>
        <w:rPr>
          <w:rFonts w:hAnsi="宋体" w:cs="宋体"/>
          <w:b/>
          <w:szCs w:val="28"/>
        </w:rPr>
      </w:pPr>
    </w:p>
    <w:p>
      <w:pPr>
        <w:spacing w:line="360" w:lineRule="auto"/>
        <w:jc w:val="left"/>
        <w:rPr>
          <w:rFonts w:ascii="宋体" w:hAnsi="宋体"/>
          <w:sz w:val="24"/>
        </w:rPr>
      </w:pPr>
      <w:r>
        <w:rPr>
          <w:rFonts w:hint="eastAsia" w:ascii="宋体" w:hAnsi="宋体"/>
          <w:sz w:val="24"/>
        </w:rPr>
        <w:t>致：</w:t>
      </w:r>
      <w:r>
        <w:rPr>
          <w:rFonts w:hint="eastAsia" w:ascii="宋体" w:hAnsi="宋体"/>
          <w:sz w:val="24"/>
          <w:u w:val="single"/>
        </w:rPr>
        <w:t>福建农林大学</w:t>
      </w:r>
    </w:p>
    <w:p>
      <w:pPr>
        <w:spacing w:line="360" w:lineRule="auto"/>
        <w:ind w:firstLine="480"/>
        <w:jc w:val="left"/>
        <w:rPr>
          <w:rFonts w:ascii="宋体" w:hAnsi="宋体"/>
          <w:sz w:val="24"/>
        </w:rPr>
      </w:pPr>
      <w:r>
        <w:rPr>
          <w:rFonts w:hint="eastAsia" w:ascii="宋体" w:hAnsi="宋体"/>
          <w:sz w:val="24"/>
        </w:rPr>
        <w:t>关于贵方</w:t>
      </w:r>
      <w:r>
        <w:rPr>
          <w:rFonts w:hint="eastAsia" w:ascii="宋体" w:hAnsi="宋体"/>
          <w:sz w:val="24"/>
          <w:u w:val="single"/>
        </w:rPr>
        <w:t xml:space="preserve">                          项目</w:t>
      </w:r>
      <w:r>
        <w:rPr>
          <w:rFonts w:hint="eastAsia" w:ascii="宋体" w:hAnsi="宋体"/>
          <w:sz w:val="24"/>
        </w:rPr>
        <w:t>的竞价文件，我们作为竞价人已熟知、清楚，愿意参加竞价并承诺如下：</w:t>
      </w:r>
    </w:p>
    <w:p>
      <w:pPr>
        <w:spacing w:line="360" w:lineRule="auto"/>
        <w:ind w:firstLine="480"/>
        <w:jc w:val="left"/>
        <w:rPr>
          <w:rFonts w:ascii="宋体" w:hAnsi="宋体"/>
          <w:sz w:val="24"/>
        </w:rPr>
      </w:pPr>
      <w:r>
        <w:rPr>
          <w:rFonts w:hint="eastAsia" w:ascii="宋体" w:hAnsi="宋体"/>
          <w:sz w:val="24"/>
        </w:rPr>
        <w:t>我公司在参加本次采购活动前3年内，在经营活动中无行贿犯罪。</w:t>
      </w:r>
    </w:p>
    <w:p>
      <w:pPr>
        <w:spacing w:line="360" w:lineRule="auto"/>
        <w:ind w:firstLine="480"/>
        <w:jc w:val="left"/>
        <w:rPr>
          <w:rFonts w:ascii="宋体" w:hAnsi="宋体"/>
          <w:sz w:val="24"/>
        </w:rPr>
      </w:pPr>
      <w:r>
        <w:rPr>
          <w:rFonts w:hint="eastAsia" w:ascii="宋体" w:hAnsi="宋体"/>
          <w:sz w:val="24"/>
        </w:rPr>
        <w:t>参加采购活动前三年内，我方在经营活动中没有重大违法记录，即没有因违法经营受到刑事处罚或责令停产停业、吊销许可证或执照、较大数额罚款等行政处罚。否则产生不利后果由我方承担责任。</w:t>
      </w:r>
    </w:p>
    <w:p>
      <w:pPr>
        <w:spacing w:line="360" w:lineRule="auto"/>
        <w:ind w:firstLine="480"/>
        <w:jc w:val="left"/>
        <w:rPr>
          <w:rFonts w:ascii="宋体" w:hAnsi="宋体"/>
          <w:sz w:val="24"/>
        </w:rPr>
      </w:pPr>
      <w:r>
        <w:rPr>
          <w:rFonts w:hint="eastAsia" w:ascii="宋体" w:hAnsi="宋体"/>
          <w:sz w:val="24"/>
        </w:rPr>
        <w:t>特此声明。</w:t>
      </w:r>
    </w:p>
    <w:p>
      <w:pPr>
        <w:spacing w:line="360" w:lineRule="auto"/>
        <w:ind w:firstLine="480"/>
        <w:jc w:val="left"/>
        <w:rPr>
          <w:rFonts w:ascii="宋体" w:hAnsi="宋体"/>
          <w:sz w:val="24"/>
        </w:rPr>
      </w:pPr>
    </w:p>
    <w:p>
      <w:pPr>
        <w:spacing w:line="360" w:lineRule="auto"/>
        <w:ind w:firstLine="3240" w:firstLineChars="1350"/>
        <w:jc w:val="left"/>
        <w:rPr>
          <w:rFonts w:ascii="宋体" w:hAnsi="宋体"/>
          <w:sz w:val="24"/>
        </w:rPr>
      </w:pPr>
      <w:r>
        <w:rPr>
          <w:rFonts w:hint="eastAsia" w:ascii="宋体" w:hAnsi="宋体"/>
          <w:sz w:val="24"/>
        </w:rPr>
        <w:t>竞价人（全称并加盖公章）：</w:t>
      </w:r>
    </w:p>
    <w:p>
      <w:pPr>
        <w:spacing w:line="360" w:lineRule="auto"/>
        <w:ind w:firstLine="3240" w:firstLineChars="1350"/>
        <w:jc w:val="left"/>
        <w:rPr>
          <w:rFonts w:ascii="宋体" w:hAnsi="宋体"/>
          <w:sz w:val="24"/>
        </w:rPr>
      </w:pPr>
      <w:r>
        <w:rPr>
          <w:rFonts w:hint="eastAsia" w:ascii="宋体" w:hAnsi="宋体"/>
          <w:sz w:val="24"/>
        </w:rPr>
        <w:t>竞价人代表签字：</w:t>
      </w:r>
    </w:p>
    <w:p>
      <w:pPr>
        <w:spacing w:line="360" w:lineRule="auto"/>
        <w:ind w:firstLine="3240" w:firstLineChars="1350"/>
        <w:jc w:val="left"/>
        <w:rPr>
          <w:rFonts w:ascii="宋体" w:hAnsi="宋体" w:cs="宋体"/>
          <w:b/>
          <w:sz w:val="28"/>
          <w:szCs w:val="28"/>
        </w:rPr>
      </w:pPr>
      <w:r>
        <w:rPr>
          <w:rFonts w:hint="eastAsia" w:ascii="宋体" w:hAnsi="宋体"/>
          <w:sz w:val="24"/>
        </w:rPr>
        <w:t>日期：</w:t>
      </w:r>
    </w:p>
    <w:p>
      <w:pPr>
        <w:spacing w:line="400" w:lineRule="exact"/>
        <w:rPr>
          <w:rFonts w:hAnsi="宋体" w:cs="宋体"/>
          <w:b/>
          <w:sz w:val="28"/>
          <w:szCs w:val="28"/>
        </w:rPr>
      </w:pPr>
    </w:p>
    <w:p/>
    <w:p/>
    <w:p>
      <w:pPr>
        <w:pStyle w:val="11"/>
        <w:spacing w:line="360" w:lineRule="auto"/>
        <w:ind w:firstLine="422" w:firstLineChars="150"/>
        <w:rPr>
          <w:rFonts w:hAnsi="宋体"/>
          <w:b/>
          <w:sz w:val="28"/>
          <w:szCs w:val="28"/>
        </w:rPr>
      </w:pPr>
    </w:p>
    <w:p>
      <w:pPr>
        <w:pStyle w:val="11"/>
        <w:spacing w:line="360" w:lineRule="auto"/>
        <w:ind w:firstLine="422" w:firstLineChars="150"/>
        <w:rPr>
          <w:rFonts w:hAnsi="宋体"/>
          <w:b/>
          <w:sz w:val="28"/>
          <w:szCs w:val="28"/>
        </w:rPr>
      </w:pPr>
    </w:p>
    <w:p>
      <w:pPr>
        <w:pStyle w:val="11"/>
        <w:spacing w:line="360" w:lineRule="auto"/>
        <w:ind w:firstLine="422" w:firstLineChars="150"/>
        <w:rPr>
          <w:rFonts w:hAnsi="宋体"/>
          <w:b/>
          <w:sz w:val="28"/>
          <w:szCs w:val="28"/>
        </w:rPr>
      </w:pPr>
    </w:p>
    <w:p>
      <w:pPr>
        <w:pStyle w:val="11"/>
        <w:spacing w:line="360" w:lineRule="auto"/>
        <w:ind w:firstLine="422" w:firstLineChars="150"/>
        <w:rPr>
          <w:rFonts w:hAnsi="宋体"/>
          <w:b/>
          <w:sz w:val="28"/>
          <w:szCs w:val="28"/>
        </w:rPr>
      </w:pPr>
    </w:p>
    <w:p>
      <w:pPr>
        <w:pStyle w:val="11"/>
        <w:spacing w:line="360" w:lineRule="auto"/>
        <w:ind w:firstLine="422" w:firstLineChars="150"/>
        <w:rPr>
          <w:rFonts w:hAnsi="宋体"/>
          <w:b/>
          <w:sz w:val="28"/>
          <w:szCs w:val="28"/>
        </w:rPr>
      </w:pPr>
    </w:p>
    <w:p>
      <w:pPr>
        <w:pStyle w:val="11"/>
        <w:spacing w:line="360" w:lineRule="auto"/>
        <w:ind w:firstLine="422" w:firstLineChars="150"/>
        <w:rPr>
          <w:rFonts w:hAnsi="宋体"/>
          <w:b/>
          <w:sz w:val="28"/>
          <w:szCs w:val="28"/>
        </w:rPr>
      </w:pPr>
    </w:p>
    <w:p>
      <w:pPr>
        <w:pStyle w:val="11"/>
        <w:spacing w:line="360" w:lineRule="auto"/>
        <w:ind w:firstLine="422" w:firstLineChars="150"/>
        <w:rPr>
          <w:rFonts w:hAnsi="宋体"/>
          <w:b/>
          <w:sz w:val="28"/>
          <w:szCs w:val="28"/>
        </w:rPr>
      </w:pPr>
    </w:p>
    <w:p>
      <w:pPr>
        <w:spacing w:line="360" w:lineRule="auto"/>
        <w:jc w:val="center"/>
        <w:rPr>
          <w:sz w:val="36"/>
          <w:szCs w:val="36"/>
        </w:rPr>
      </w:pPr>
      <w:r>
        <w:rPr>
          <w:rFonts w:hint="eastAsia" w:ascii="宋体" w:hAnsi="宋体"/>
          <w:b/>
          <w:sz w:val="36"/>
          <w:szCs w:val="36"/>
        </w:rPr>
        <w:t>6、技术商务响应承诺函</w:t>
      </w:r>
    </w:p>
    <w:p>
      <w:pPr>
        <w:spacing w:line="360" w:lineRule="auto"/>
        <w:jc w:val="left"/>
        <w:rPr>
          <w:rFonts w:ascii="宋体" w:hAnsi="宋体"/>
          <w:sz w:val="24"/>
        </w:rPr>
      </w:pPr>
      <w:r>
        <w:rPr>
          <w:rFonts w:hint="eastAsia" w:ascii="宋体" w:hAnsi="宋体"/>
          <w:sz w:val="24"/>
        </w:rPr>
        <w:t>致：</w:t>
      </w:r>
      <w:r>
        <w:rPr>
          <w:rFonts w:hint="eastAsia" w:ascii="宋体" w:hAnsi="宋体"/>
          <w:sz w:val="24"/>
          <w:u w:val="single"/>
        </w:rPr>
        <w:t>福建农林大学</w:t>
      </w:r>
    </w:p>
    <w:p>
      <w:pPr>
        <w:spacing w:line="360" w:lineRule="auto"/>
        <w:ind w:firstLine="480"/>
        <w:jc w:val="left"/>
        <w:rPr>
          <w:rFonts w:ascii="宋体" w:hAnsi="宋体"/>
          <w:sz w:val="24"/>
        </w:rPr>
      </w:pPr>
      <w:r>
        <w:rPr>
          <w:rFonts w:hint="eastAsia" w:ascii="宋体" w:hAnsi="宋体"/>
          <w:sz w:val="24"/>
        </w:rPr>
        <w:t>关于贵方</w:t>
      </w:r>
      <w:r>
        <w:rPr>
          <w:rFonts w:hint="eastAsia" w:ascii="宋体" w:hAnsi="宋体"/>
          <w:sz w:val="24"/>
          <w:u w:val="single"/>
        </w:rPr>
        <w:t xml:space="preserve">                          项目</w:t>
      </w:r>
      <w:r>
        <w:rPr>
          <w:rFonts w:hint="eastAsia" w:ascii="宋体" w:hAnsi="宋体"/>
          <w:sz w:val="24"/>
        </w:rPr>
        <w:t>的竞价文件，我们作为竞价人已熟知、清楚，愿意参加竞价并承诺如下：</w:t>
      </w:r>
    </w:p>
    <w:p>
      <w:pPr>
        <w:spacing w:line="360" w:lineRule="auto"/>
        <w:ind w:firstLine="480"/>
        <w:jc w:val="left"/>
        <w:rPr>
          <w:rFonts w:ascii="宋体" w:hAnsi="宋体"/>
          <w:sz w:val="24"/>
        </w:rPr>
      </w:pPr>
      <w:r>
        <w:rPr>
          <w:rFonts w:hint="eastAsia" w:ascii="宋体" w:hAnsi="宋体"/>
          <w:sz w:val="24"/>
        </w:rPr>
        <w:t>我公司已理解且完全响应本项目竞价文件第二章“网上竞价内容及要求”中“二、技术参数及商务条款”的各项要求。</w:t>
      </w:r>
    </w:p>
    <w:p>
      <w:pPr>
        <w:spacing w:line="360" w:lineRule="auto"/>
        <w:ind w:firstLine="480"/>
        <w:jc w:val="left"/>
        <w:rPr>
          <w:rFonts w:ascii="宋体" w:hAnsi="宋体"/>
          <w:sz w:val="24"/>
        </w:rPr>
      </w:pPr>
      <w:r>
        <w:rPr>
          <w:rFonts w:hint="eastAsia" w:ascii="宋体" w:hAnsi="宋体"/>
          <w:sz w:val="24"/>
        </w:rPr>
        <w:t>特此承诺！</w:t>
      </w:r>
    </w:p>
    <w:p>
      <w:pPr>
        <w:spacing w:line="360" w:lineRule="auto"/>
        <w:ind w:firstLine="480"/>
        <w:jc w:val="left"/>
        <w:rPr>
          <w:rFonts w:ascii="宋体" w:hAnsi="宋体"/>
          <w:sz w:val="24"/>
        </w:rPr>
      </w:pPr>
    </w:p>
    <w:p>
      <w:pPr>
        <w:pStyle w:val="9"/>
        <w:ind w:firstLine="0"/>
        <w:rPr>
          <w:rFonts w:ascii="宋体" w:hAnsi="宋体"/>
          <w:b/>
          <w:sz w:val="36"/>
        </w:rPr>
      </w:pPr>
    </w:p>
    <w:p>
      <w:pPr>
        <w:pStyle w:val="5"/>
        <w:rPr>
          <w:rFonts w:ascii="宋体" w:hAnsi="宋体"/>
          <w:sz w:val="24"/>
        </w:rPr>
      </w:pPr>
      <w:r>
        <w:rPr>
          <w:rFonts w:hint="eastAsia" w:ascii="宋体" w:hAnsi="宋体"/>
          <w:sz w:val="24"/>
        </w:rPr>
        <w:t>注：若有要求提供证明材料的，附后。</w:t>
      </w:r>
    </w:p>
    <w:p>
      <w:pPr>
        <w:spacing w:line="460" w:lineRule="exact"/>
        <w:ind w:firstLine="3240" w:firstLineChars="1350"/>
        <w:jc w:val="left"/>
        <w:rPr>
          <w:rFonts w:ascii="宋体" w:hAnsi="宋体" w:cs="宋体"/>
          <w:sz w:val="24"/>
        </w:rPr>
      </w:pPr>
      <w:r>
        <w:rPr>
          <w:rFonts w:hint="eastAsia" w:ascii="宋体" w:hAnsi="宋体" w:cs="宋体"/>
          <w:sz w:val="24"/>
        </w:rPr>
        <w:t>竞价人（全称并加盖公章）：</w:t>
      </w:r>
    </w:p>
    <w:p>
      <w:pPr>
        <w:spacing w:line="460" w:lineRule="exact"/>
        <w:ind w:firstLine="3240" w:firstLineChars="1350"/>
        <w:jc w:val="left"/>
        <w:rPr>
          <w:rFonts w:ascii="宋体" w:hAnsi="宋体" w:cs="宋体"/>
          <w:sz w:val="24"/>
        </w:rPr>
      </w:pPr>
      <w:r>
        <w:rPr>
          <w:rFonts w:hint="eastAsia" w:ascii="宋体" w:hAnsi="宋体" w:cs="宋体"/>
          <w:sz w:val="24"/>
        </w:rPr>
        <w:t>竞价人代表签字：</w:t>
      </w:r>
    </w:p>
    <w:p>
      <w:pPr>
        <w:spacing w:line="460" w:lineRule="exact"/>
        <w:ind w:firstLine="3240" w:firstLineChars="1350"/>
        <w:jc w:val="left"/>
        <w:rPr>
          <w:rFonts w:ascii="宋体" w:hAnsi="宋体" w:cs="宋体"/>
          <w:b/>
          <w:sz w:val="24"/>
        </w:rPr>
      </w:pPr>
      <w:r>
        <w:rPr>
          <w:rFonts w:hint="eastAsia" w:ascii="宋体" w:hAnsi="宋体" w:cs="宋体"/>
          <w:sz w:val="24"/>
        </w:rPr>
        <w:t>日期：</w:t>
      </w:r>
    </w:p>
    <w:p>
      <w:pPr>
        <w:spacing w:line="360" w:lineRule="auto"/>
        <w:jc w:val="center"/>
        <w:rPr>
          <w:rFonts w:ascii="宋体" w:hAnsi="宋体"/>
          <w:b/>
          <w:sz w:val="36"/>
        </w:rPr>
      </w:pPr>
    </w:p>
    <w:p>
      <w:pPr>
        <w:spacing w:line="360" w:lineRule="auto"/>
        <w:jc w:val="center"/>
        <w:rPr>
          <w:rFonts w:ascii="宋体" w:hAnsi="宋体"/>
          <w:b/>
          <w:sz w:val="36"/>
        </w:rPr>
      </w:pPr>
    </w:p>
    <w:p>
      <w:pPr>
        <w:pStyle w:val="11"/>
        <w:spacing w:line="360" w:lineRule="auto"/>
        <w:rPr>
          <w:rFonts w:hAnsi="宋体"/>
          <w:b/>
          <w:sz w:val="28"/>
          <w:szCs w:val="28"/>
        </w:rPr>
      </w:pPr>
    </w:p>
    <w:p>
      <w:pPr>
        <w:pStyle w:val="11"/>
        <w:spacing w:line="360" w:lineRule="auto"/>
        <w:rPr>
          <w:rFonts w:hAnsi="宋体"/>
          <w:b/>
          <w:sz w:val="28"/>
          <w:szCs w:val="28"/>
        </w:rPr>
      </w:pPr>
    </w:p>
    <w:p>
      <w:pPr>
        <w:pStyle w:val="11"/>
        <w:spacing w:line="360" w:lineRule="auto"/>
        <w:rPr>
          <w:rFonts w:hAnsi="宋体"/>
          <w:b/>
          <w:sz w:val="28"/>
          <w:szCs w:val="28"/>
        </w:rPr>
      </w:pPr>
    </w:p>
    <w:p>
      <w:pPr>
        <w:pStyle w:val="11"/>
        <w:spacing w:line="360" w:lineRule="auto"/>
        <w:rPr>
          <w:rFonts w:hAnsi="宋体"/>
          <w:b/>
          <w:sz w:val="28"/>
          <w:szCs w:val="28"/>
        </w:rPr>
      </w:pPr>
    </w:p>
    <w:p>
      <w:pPr>
        <w:pStyle w:val="11"/>
        <w:spacing w:line="360" w:lineRule="auto"/>
        <w:rPr>
          <w:rFonts w:hAnsi="宋体"/>
          <w:b/>
          <w:sz w:val="28"/>
          <w:szCs w:val="28"/>
        </w:rPr>
      </w:pPr>
    </w:p>
    <w:p>
      <w:pPr>
        <w:pStyle w:val="11"/>
        <w:spacing w:line="360" w:lineRule="auto"/>
        <w:rPr>
          <w:rFonts w:hAnsi="宋体"/>
          <w:b/>
          <w:sz w:val="28"/>
          <w:szCs w:val="28"/>
        </w:rPr>
      </w:pPr>
    </w:p>
    <w:p>
      <w:pPr>
        <w:pStyle w:val="11"/>
        <w:spacing w:line="360" w:lineRule="auto"/>
        <w:rPr>
          <w:rFonts w:hAnsi="宋体"/>
          <w:b/>
          <w:sz w:val="28"/>
          <w:szCs w:val="28"/>
        </w:rPr>
      </w:pPr>
    </w:p>
    <w:p>
      <w:pPr>
        <w:pStyle w:val="11"/>
        <w:spacing w:line="360" w:lineRule="auto"/>
        <w:rPr>
          <w:rFonts w:hAnsi="宋体"/>
          <w:b/>
          <w:sz w:val="28"/>
          <w:szCs w:val="28"/>
        </w:rPr>
      </w:pPr>
    </w:p>
    <w:p>
      <w:pPr>
        <w:pStyle w:val="11"/>
        <w:spacing w:line="360" w:lineRule="auto"/>
        <w:rPr>
          <w:rFonts w:hAnsi="宋体"/>
          <w:b/>
          <w:sz w:val="28"/>
          <w:szCs w:val="28"/>
        </w:rPr>
      </w:pPr>
    </w:p>
    <w:p>
      <w:pPr>
        <w:pStyle w:val="11"/>
        <w:spacing w:line="360" w:lineRule="auto"/>
        <w:rPr>
          <w:rFonts w:hAnsi="宋体"/>
          <w:b/>
          <w:sz w:val="28"/>
          <w:szCs w:val="28"/>
        </w:rPr>
      </w:pPr>
    </w:p>
    <w:p>
      <w:pPr>
        <w:spacing w:line="360" w:lineRule="auto"/>
        <w:jc w:val="center"/>
        <w:rPr>
          <w:rFonts w:ascii="宋体" w:hAnsi="宋体"/>
          <w:b/>
          <w:sz w:val="36"/>
        </w:rPr>
      </w:pPr>
      <w:r>
        <w:rPr>
          <w:rFonts w:hint="eastAsia" w:ascii="宋体" w:hAnsi="宋体"/>
          <w:b/>
          <w:sz w:val="36"/>
        </w:rPr>
        <w:t>7、竞价人需提供的其他材料</w:t>
      </w:r>
    </w:p>
    <w:p>
      <w:pPr>
        <w:jc w:val="center"/>
        <w:rPr>
          <w:rFonts w:ascii="楷体_GB2312" w:eastAsia="楷体_GB2312"/>
          <w:b/>
          <w:sz w:val="44"/>
          <w:szCs w:val="44"/>
        </w:rPr>
      </w:pPr>
    </w:p>
    <w:p>
      <w:pPr>
        <w:pStyle w:val="9"/>
        <w:rPr>
          <w:rFonts w:ascii="楷体_GB2312" w:eastAsia="楷体_GB2312"/>
          <w:b/>
          <w:sz w:val="44"/>
          <w:szCs w:val="44"/>
        </w:rPr>
      </w:pPr>
    </w:p>
    <w:p>
      <w:pPr>
        <w:pStyle w:val="5"/>
        <w:rPr>
          <w:rFonts w:ascii="宋体" w:hAnsi="宋体" w:cs="宋体"/>
          <w:bCs/>
          <w:sz w:val="24"/>
        </w:rPr>
      </w:pPr>
      <w:r>
        <w:rPr>
          <w:rFonts w:hint="eastAsia" w:ascii="宋体" w:hAnsi="宋体" w:cs="宋体"/>
          <w:bCs/>
          <w:sz w:val="24"/>
        </w:rPr>
        <w:t>注：竞价文件有要求的或竞价人认为应提交的其他材料可在此项下提交。</w:t>
      </w:r>
    </w:p>
    <w:p>
      <w:pPr>
        <w:pStyle w:val="9"/>
        <w:rPr>
          <w:rFonts w:ascii="楷体_GB2312" w:eastAsia="楷体_GB2312"/>
          <w:b/>
          <w:sz w:val="44"/>
          <w:szCs w:val="44"/>
        </w:rPr>
      </w:pPr>
    </w:p>
    <w:p>
      <w:pPr>
        <w:pStyle w:val="5"/>
        <w:rPr>
          <w:rFonts w:ascii="楷体_GB2312" w:eastAsia="楷体_GB2312"/>
          <w:b/>
          <w:sz w:val="44"/>
          <w:szCs w:val="44"/>
        </w:rPr>
      </w:pPr>
    </w:p>
    <w:p>
      <w:pPr>
        <w:pStyle w:val="9"/>
        <w:rPr>
          <w:rFonts w:ascii="楷体_GB2312" w:eastAsia="楷体_GB2312"/>
          <w:b/>
          <w:sz w:val="44"/>
          <w:szCs w:val="44"/>
        </w:rPr>
      </w:pPr>
    </w:p>
    <w:p>
      <w:pPr>
        <w:pStyle w:val="5"/>
        <w:rPr>
          <w:rFonts w:ascii="楷体_GB2312" w:eastAsia="楷体_GB2312"/>
          <w:b/>
          <w:sz w:val="44"/>
          <w:szCs w:val="44"/>
        </w:rPr>
      </w:pPr>
    </w:p>
    <w:p>
      <w:pPr>
        <w:pStyle w:val="9"/>
        <w:rPr>
          <w:rFonts w:ascii="楷体_GB2312" w:eastAsia="楷体_GB2312"/>
          <w:b/>
          <w:sz w:val="44"/>
          <w:szCs w:val="44"/>
        </w:rPr>
      </w:pPr>
    </w:p>
    <w:p>
      <w:pPr>
        <w:pStyle w:val="5"/>
        <w:rPr>
          <w:rFonts w:ascii="楷体_GB2312" w:eastAsia="楷体_GB2312"/>
          <w:b/>
          <w:sz w:val="44"/>
          <w:szCs w:val="44"/>
        </w:rPr>
      </w:pPr>
    </w:p>
    <w:p>
      <w:pPr>
        <w:pStyle w:val="9"/>
        <w:rPr>
          <w:rFonts w:ascii="楷体_GB2312" w:eastAsia="楷体_GB2312"/>
          <w:b/>
          <w:sz w:val="44"/>
          <w:szCs w:val="44"/>
        </w:rPr>
      </w:pPr>
    </w:p>
    <w:p>
      <w:pPr>
        <w:pStyle w:val="5"/>
        <w:rPr>
          <w:rFonts w:ascii="楷体_GB2312" w:eastAsia="楷体_GB2312"/>
          <w:b/>
          <w:sz w:val="44"/>
          <w:szCs w:val="44"/>
        </w:rPr>
      </w:pPr>
    </w:p>
    <w:p>
      <w:pPr>
        <w:pStyle w:val="9"/>
      </w:pPr>
    </w:p>
    <w:p>
      <w:pPr>
        <w:pStyle w:val="5"/>
        <w:rPr>
          <w:rFonts w:ascii="楷体_GB2312" w:eastAsia="楷体_GB2312"/>
          <w:b/>
          <w:sz w:val="44"/>
          <w:szCs w:val="44"/>
        </w:rPr>
      </w:pPr>
    </w:p>
    <w:p>
      <w:pPr>
        <w:pStyle w:val="9"/>
        <w:rPr>
          <w:rFonts w:ascii="楷体_GB2312" w:eastAsia="楷体_GB2312"/>
          <w:b/>
          <w:sz w:val="44"/>
          <w:szCs w:val="44"/>
        </w:rPr>
      </w:pPr>
    </w:p>
    <w:p>
      <w:pPr>
        <w:pStyle w:val="5"/>
        <w:rPr>
          <w:rFonts w:ascii="楷体_GB2312" w:eastAsia="楷体_GB2312"/>
          <w:b/>
          <w:sz w:val="44"/>
          <w:szCs w:val="44"/>
        </w:rPr>
      </w:pPr>
    </w:p>
    <w:p>
      <w:pPr>
        <w:pStyle w:val="9"/>
        <w:rPr>
          <w:rFonts w:ascii="楷体_GB2312" w:eastAsia="楷体_GB2312"/>
          <w:b/>
          <w:sz w:val="44"/>
          <w:szCs w:val="44"/>
        </w:rPr>
      </w:pPr>
    </w:p>
    <w:p>
      <w:pPr>
        <w:pStyle w:val="5"/>
        <w:rPr>
          <w:rFonts w:ascii="楷体_GB2312" w:eastAsia="楷体_GB2312"/>
          <w:b/>
          <w:sz w:val="44"/>
          <w:szCs w:val="44"/>
        </w:rPr>
      </w:pPr>
    </w:p>
    <w:p>
      <w:pPr>
        <w:pStyle w:val="6"/>
        <w:rPr>
          <w:rFonts w:ascii="楷体_GB2312" w:eastAsia="楷体_GB2312"/>
          <w:b/>
          <w:sz w:val="44"/>
          <w:szCs w:val="44"/>
        </w:rPr>
      </w:pPr>
    </w:p>
    <w:p>
      <w:pPr>
        <w:pStyle w:val="6"/>
        <w:rPr>
          <w:rFonts w:ascii="楷体_GB2312" w:eastAsia="楷体_GB2312"/>
          <w:b/>
          <w:sz w:val="44"/>
          <w:szCs w:val="44"/>
        </w:rPr>
      </w:pPr>
    </w:p>
    <w:p>
      <w:pPr>
        <w:pStyle w:val="6"/>
        <w:rPr>
          <w:rFonts w:ascii="楷体_GB2312" w:eastAsia="楷体_GB2312"/>
          <w:b/>
          <w:sz w:val="44"/>
          <w:szCs w:val="44"/>
        </w:rPr>
      </w:pPr>
    </w:p>
    <w:p>
      <w:pPr>
        <w:pStyle w:val="9"/>
        <w:rPr>
          <w:rFonts w:ascii="楷体_GB2312" w:eastAsia="楷体_GB2312"/>
          <w:b/>
          <w:sz w:val="44"/>
          <w:szCs w:val="44"/>
        </w:rPr>
      </w:pPr>
    </w:p>
    <w:p>
      <w:pPr>
        <w:jc w:val="center"/>
        <w:outlineLvl w:val="0"/>
        <w:rPr>
          <w:b/>
          <w:bCs/>
          <w:sz w:val="36"/>
          <w:szCs w:val="36"/>
        </w:rPr>
      </w:pPr>
      <w:bookmarkStart w:id="55" w:name="_Toc25184"/>
      <w:bookmarkStart w:id="56" w:name="_Toc1456"/>
      <w:r>
        <w:rPr>
          <w:rFonts w:hint="eastAsia"/>
          <w:b/>
          <w:bCs/>
          <w:sz w:val="36"/>
          <w:szCs w:val="36"/>
        </w:rPr>
        <w:t>第五章  报价文件</w:t>
      </w:r>
      <w:bookmarkEnd w:id="55"/>
      <w:bookmarkEnd w:id="56"/>
    </w:p>
    <w:p>
      <w:pPr>
        <w:pStyle w:val="5"/>
      </w:pPr>
    </w:p>
    <w:p>
      <w:pPr>
        <w:pStyle w:val="9"/>
      </w:pPr>
    </w:p>
    <w:p>
      <w:pPr>
        <w:pStyle w:val="3"/>
        <w:spacing w:line="500" w:lineRule="exact"/>
        <w:ind w:firstLine="562" w:firstLineChars="200"/>
        <w:rPr>
          <w:rFonts w:ascii="宋体" w:hAnsi="宋体"/>
          <w:b/>
          <w:bCs/>
          <w:sz w:val="28"/>
          <w:szCs w:val="36"/>
        </w:rPr>
      </w:pPr>
      <w:r>
        <w:rPr>
          <w:rFonts w:hint="eastAsia" w:ascii="宋体" w:hAnsi="宋体"/>
          <w:b/>
          <w:bCs/>
          <w:sz w:val="28"/>
          <w:szCs w:val="36"/>
        </w:rPr>
        <w:t>★注意：</w:t>
      </w:r>
    </w:p>
    <w:p>
      <w:pPr>
        <w:pStyle w:val="3"/>
        <w:spacing w:line="500" w:lineRule="exact"/>
        <w:ind w:firstLine="562" w:firstLineChars="200"/>
        <w:rPr>
          <w:rFonts w:ascii="宋体" w:hAnsi="宋体"/>
          <w:b/>
          <w:bCs/>
          <w:sz w:val="28"/>
          <w:szCs w:val="36"/>
        </w:rPr>
      </w:pPr>
      <w:r>
        <w:rPr>
          <w:rFonts w:hint="eastAsia" w:ascii="宋体" w:hAnsi="宋体"/>
          <w:b/>
          <w:bCs/>
          <w:sz w:val="28"/>
          <w:szCs w:val="36"/>
        </w:rPr>
        <w:t xml:space="preserve">①本报价文件在竞价过程中提供，竞价人报名时无须提供报价文件材料。 </w:t>
      </w:r>
    </w:p>
    <w:p>
      <w:pPr>
        <w:pStyle w:val="3"/>
        <w:spacing w:line="500" w:lineRule="exact"/>
        <w:ind w:firstLine="562" w:firstLineChars="200"/>
        <w:rPr>
          <w:rFonts w:ascii="宋体" w:hAnsi="宋体"/>
          <w:b/>
          <w:bCs/>
          <w:sz w:val="28"/>
          <w:szCs w:val="36"/>
        </w:rPr>
      </w:pPr>
      <w:r>
        <w:rPr>
          <w:rFonts w:hint="eastAsia" w:ascii="宋体" w:hAnsi="宋体"/>
          <w:b/>
          <w:bCs/>
          <w:sz w:val="28"/>
          <w:szCs w:val="36"/>
        </w:rPr>
        <w:t>②竞价人对每个项目合同包报价时都必须扫描上传有效的报价文件并加盖公章，未按要求扫描上传报价文件的报价无效。扫描上传报价文件具有法律效力。</w:t>
      </w:r>
    </w:p>
    <w:p>
      <w:pPr>
        <w:pStyle w:val="3"/>
        <w:spacing w:line="500" w:lineRule="exact"/>
        <w:ind w:firstLine="562" w:firstLineChars="200"/>
        <w:rPr>
          <w:rFonts w:ascii="楷体_GB2312" w:eastAsia="楷体_GB2312"/>
          <w:b/>
          <w:sz w:val="44"/>
          <w:szCs w:val="44"/>
        </w:rPr>
      </w:pPr>
      <w:r>
        <w:rPr>
          <w:rFonts w:hint="eastAsia" w:ascii="宋体" w:hAnsi="宋体"/>
          <w:b/>
          <w:bCs/>
          <w:sz w:val="28"/>
          <w:szCs w:val="36"/>
        </w:rPr>
        <w:t>③报价要求：竞价过程中未按竞价文件“第一章 竞价须知” 中“12.竞价规则说明”规定执行的，将导致报价无效。（竞价人制表时应删去此段话）</w:t>
      </w:r>
    </w:p>
    <w:p>
      <w:pPr>
        <w:pStyle w:val="8"/>
        <w:rPr>
          <w:sz w:val="24"/>
          <w:szCs w:val="24"/>
        </w:rPr>
      </w:pPr>
    </w:p>
    <w:p>
      <w:pPr>
        <w:pStyle w:val="8"/>
        <w:rPr>
          <w:sz w:val="24"/>
          <w:szCs w:val="24"/>
        </w:rPr>
      </w:pPr>
    </w:p>
    <w:p>
      <w:pPr>
        <w:pStyle w:val="8"/>
        <w:rPr>
          <w:sz w:val="24"/>
          <w:szCs w:val="24"/>
        </w:rPr>
      </w:pPr>
    </w:p>
    <w:p>
      <w:pPr>
        <w:rPr>
          <w:sz w:val="24"/>
        </w:rPr>
      </w:pPr>
    </w:p>
    <w:p>
      <w:pPr>
        <w:pStyle w:val="2"/>
        <w:ind w:firstLine="240"/>
        <w:rPr>
          <w:sz w:val="24"/>
        </w:rPr>
      </w:pPr>
    </w:p>
    <w:p>
      <w:pPr>
        <w:pStyle w:val="4"/>
        <w:rPr>
          <w:sz w:val="24"/>
        </w:rPr>
      </w:pPr>
    </w:p>
    <w:p>
      <w:pPr>
        <w:pStyle w:val="4"/>
        <w:rPr>
          <w:sz w:val="24"/>
        </w:rPr>
      </w:pPr>
    </w:p>
    <w:p>
      <w:pPr>
        <w:pStyle w:val="24"/>
        <w:spacing w:before="156" w:after="156"/>
      </w:pPr>
    </w:p>
    <w:p>
      <w:pPr>
        <w:pStyle w:val="24"/>
        <w:spacing w:before="156" w:after="156"/>
      </w:pPr>
    </w:p>
    <w:p>
      <w:pPr>
        <w:pStyle w:val="24"/>
        <w:spacing w:before="156" w:after="156"/>
      </w:pPr>
    </w:p>
    <w:p>
      <w:pPr>
        <w:pStyle w:val="24"/>
        <w:spacing w:before="156" w:after="156"/>
      </w:pPr>
    </w:p>
    <w:p>
      <w:pPr>
        <w:pStyle w:val="24"/>
        <w:spacing w:before="156" w:after="156"/>
      </w:pPr>
    </w:p>
    <w:p>
      <w:pPr>
        <w:pStyle w:val="8"/>
        <w:rPr>
          <w:sz w:val="24"/>
          <w:szCs w:val="24"/>
        </w:rPr>
      </w:pPr>
    </w:p>
    <w:p>
      <w:pPr>
        <w:pStyle w:val="8"/>
        <w:rPr>
          <w:sz w:val="24"/>
          <w:szCs w:val="24"/>
        </w:rPr>
      </w:pPr>
    </w:p>
    <w:p>
      <w:pPr>
        <w:pStyle w:val="8"/>
        <w:rPr>
          <w:sz w:val="24"/>
          <w:szCs w:val="24"/>
        </w:rPr>
      </w:pPr>
    </w:p>
    <w:p>
      <w:pPr>
        <w:pStyle w:val="8"/>
        <w:jc w:val="center"/>
        <w:rPr>
          <w:rFonts w:cs="宋体"/>
          <w:sz w:val="24"/>
        </w:rPr>
      </w:pPr>
      <w:r>
        <w:rPr>
          <w:rFonts w:hint="eastAsia" w:cs="宋体"/>
          <w:sz w:val="24"/>
        </w:rPr>
        <w:t>报价一览表</w:t>
      </w:r>
    </w:p>
    <w:p>
      <w:pPr>
        <w:pStyle w:val="8"/>
        <w:rPr>
          <w:sz w:val="24"/>
          <w:szCs w:val="24"/>
        </w:rPr>
      </w:pPr>
      <w:r>
        <w:rPr>
          <w:rFonts w:hint="eastAsia"/>
          <w:sz w:val="24"/>
          <w:szCs w:val="24"/>
        </w:rPr>
        <w:t xml:space="preserve">项目编号：    </w:t>
      </w:r>
    </w:p>
    <w:p>
      <w:pPr>
        <w:pStyle w:val="8"/>
        <w:rPr>
          <w:sz w:val="24"/>
          <w:szCs w:val="24"/>
        </w:rPr>
      </w:pPr>
      <w:r>
        <w:rPr>
          <w:rFonts w:hint="eastAsia"/>
          <w:sz w:val="24"/>
          <w:szCs w:val="24"/>
        </w:rPr>
        <w:t xml:space="preserve">项目名称: </w:t>
      </w:r>
    </w:p>
    <w:p>
      <w:pPr>
        <w:pStyle w:val="27"/>
        <w:ind w:firstLine="6240" w:firstLineChars="2600"/>
        <w:rPr>
          <w:rFonts w:ascii="宋体" w:hAnsi="宋体"/>
          <w:sz w:val="24"/>
        </w:rPr>
      </w:pPr>
      <w:r>
        <w:rPr>
          <w:rFonts w:hint="eastAsia" w:ascii="宋体" w:hAnsi="宋体"/>
          <w:sz w:val="24"/>
        </w:rPr>
        <w:t>金额单位：人民币元</w:t>
      </w:r>
    </w:p>
    <w:p>
      <w:pPr>
        <w:pStyle w:val="27"/>
        <w:ind w:firstLine="6240" w:firstLineChars="2600"/>
        <w:rPr>
          <w:rFonts w:ascii="宋体" w:hAnsi="宋体"/>
          <w:sz w:val="24"/>
        </w:rPr>
      </w:pPr>
    </w:p>
    <w:tbl>
      <w:tblPr>
        <w:tblStyle w:val="19"/>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194"/>
        <w:gridCol w:w="1939"/>
        <w:gridCol w:w="902"/>
        <w:gridCol w:w="3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exact"/>
        </w:trPr>
        <w:tc>
          <w:tcPr>
            <w:tcW w:w="683" w:type="pct"/>
            <w:vAlign w:val="center"/>
          </w:tcPr>
          <w:p>
            <w:pPr>
              <w:pStyle w:val="11"/>
              <w:snapToGrid w:val="0"/>
              <w:ind w:left="-105" w:leftChars="-50" w:right="-105" w:rightChars="-50"/>
              <w:jc w:val="center"/>
              <w:rPr>
                <w:rFonts w:hAnsi="宋体"/>
                <w:sz w:val="24"/>
              </w:rPr>
            </w:pPr>
            <w:r>
              <w:rPr>
                <w:rFonts w:hint="eastAsia" w:hAnsi="宋体"/>
                <w:b/>
                <w:sz w:val="24"/>
              </w:rPr>
              <w:t>合同包</w:t>
            </w:r>
          </w:p>
        </w:tc>
        <w:tc>
          <w:tcPr>
            <w:tcW w:w="662" w:type="pct"/>
            <w:vAlign w:val="center"/>
          </w:tcPr>
          <w:p>
            <w:pPr>
              <w:pStyle w:val="11"/>
              <w:snapToGrid w:val="0"/>
              <w:ind w:left="-105" w:leftChars="-50" w:right="-105" w:rightChars="-50"/>
              <w:jc w:val="center"/>
              <w:rPr>
                <w:rFonts w:hAnsi="宋体"/>
                <w:sz w:val="24"/>
              </w:rPr>
            </w:pPr>
            <w:r>
              <w:rPr>
                <w:rFonts w:hint="eastAsia" w:hAnsi="宋体" w:cs="宋体"/>
                <w:b/>
                <w:bCs/>
                <w:sz w:val="24"/>
              </w:rPr>
              <w:t>品目号</w:t>
            </w:r>
          </w:p>
        </w:tc>
        <w:tc>
          <w:tcPr>
            <w:tcW w:w="1075" w:type="pct"/>
            <w:vAlign w:val="center"/>
          </w:tcPr>
          <w:p>
            <w:pPr>
              <w:pStyle w:val="11"/>
              <w:snapToGrid w:val="0"/>
              <w:ind w:left="-105" w:leftChars="-50" w:right="-105" w:rightChars="-50"/>
              <w:jc w:val="center"/>
              <w:rPr>
                <w:rFonts w:hAnsi="宋体"/>
                <w:sz w:val="24"/>
              </w:rPr>
            </w:pPr>
            <w:r>
              <w:rPr>
                <w:rFonts w:hint="eastAsia" w:hAnsi="宋体"/>
                <w:b/>
                <w:sz w:val="24"/>
              </w:rPr>
              <w:t>竞价标的</w:t>
            </w:r>
          </w:p>
        </w:tc>
        <w:tc>
          <w:tcPr>
            <w:tcW w:w="500" w:type="pct"/>
            <w:vAlign w:val="center"/>
          </w:tcPr>
          <w:p>
            <w:pPr>
              <w:pStyle w:val="11"/>
              <w:snapToGrid w:val="0"/>
              <w:ind w:left="-105" w:leftChars="-50" w:right="-105" w:rightChars="-50"/>
              <w:jc w:val="center"/>
              <w:rPr>
                <w:rFonts w:hAnsi="宋体"/>
                <w:sz w:val="24"/>
              </w:rPr>
            </w:pPr>
            <w:r>
              <w:rPr>
                <w:rFonts w:hint="eastAsia" w:hAnsi="宋体" w:cs="宋体"/>
                <w:b/>
                <w:bCs/>
                <w:sz w:val="24"/>
              </w:rPr>
              <w:t>数量</w:t>
            </w:r>
          </w:p>
        </w:tc>
        <w:tc>
          <w:tcPr>
            <w:tcW w:w="2077" w:type="pct"/>
            <w:vAlign w:val="center"/>
          </w:tcPr>
          <w:p>
            <w:pPr>
              <w:pStyle w:val="11"/>
              <w:snapToGrid w:val="0"/>
              <w:ind w:left="-105" w:leftChars="-50" w:right="-105" w:rightChars="-50"/>
              <w:jc w:val="center"/>
              <w:rPr>
                <w:rFonts w:hAnsi="宋体"/>
                <w:b/>
                <w:sz w:val="24"/>
              </w:rPr>
            </w:pPr>
            <w:r>
              <w:rPr>
                <w:rFonts w:hint="eastAsia" w:hAnsi="宋体"/>
                <w:b/>
                <w:bCs/>
                <w:sz w:val="24"/>
              </w:rPr>
              <w:t>竞价总价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exact"/>
        </w:trPr>
        <w:tc>
          <w:tcPr>
            <w:tcW w:w="683" w:type="pct"/>
            <w:vAlign w:val="center"/>
          </w:tcPr>
          <w:p>
            <w:pPr>
              <w:pStyle w:val="27"/>
              <w:jc w:val="center"/>
              <w:rPr>
                <w:rFonts w:ascii="宋体" w:hAnsi="宋体"/>
                <w:sz w:val="24"/>
              </w:rPr>
            </w:pPr>
            <w:r>
              <w:rPr>
                <w:rFonts w:hint="eastAsia" w:ascii="宋体" w:hAnsi="宋体"/>
                <w:sz w:val="24"/>
              </w:rPr>
              <w:t>1</w:t>
            </w:r>
          </w:p>
        </w:tc>
        <w:tc>
          <w:tcPr>
            <w:tcW w:w="662" w:type="pct"/>
            <w:vAlign w:val="center"/>
          </w:tcPr>
          <w:p>
            <w:pPr>
              <w:pStyle w:val="27"/>
              <w:jc w:val="center"/>
              <w:rPr>
                <w:rFonts w:ascii="宋体" w:hAnsi="宋体"/>
                <w:sz w:val="24"/>
              </w:rPr>
            </w:pPr>
            <w:r>
              <w:rPr>
                <w:rFonts w:hint="eastAsia" w:ascii="宋体" w:hAnsi="宋体"/>
                <w:sz w:val="24"/>
              </w:rPr>
              <w:t>1-1</w:t>
            </w:r>
          </w:p>
        </w:tc>
        <w:tc>
          <w:tcPr>
            <w:tcW w:w="1075" w:type="pct"/>
            <w:vAlign w:val="center"/>
          </w:tcPr>
          <w:p>
            <w:pPr>
              <w:autoSpaceDN w:val="0"/>
              <w:jc w:val="center"/>
              <w:textAlignment w:val="center"/>
              <w:rPr>
                <w:rFonts w:ascii="宋体" w:hAnsi="宋体"/>
                <w:sz w:val="24"/>
              </w:rPr>
            </w:pPr>
            <w:r>
              <w:rPr>
                <w:rFonts w:hint="eastAsia" w:ascii="宋体" w:hAnsi="宋体"/>
                <w:sz w:val="24"/>
              </w:rPr>
              <w:t>福建农林大学安溪茶学院拼接处理系统</w:t>
            </w:r>
          </w:p>
        </w:tc>
        <w:tc>
          <w:tcPr>
            <w:tcW w:w="500" w:type="pct"/>
            <w:vAlign w:val="center"/>
          </w:tcPr>
          <w:p>
            <w:pPr>
              <w:autoSpaceDN w:val="0"/>
              <w:jc w:val="center"/>
              <w:textAlignment w:val="center"/>
              <w:rPr>
                <w:rFonts w:ascii="宋体" w:hAnsi="宋体"/>
                <w:sz w:val="24"/>
              </w:rPr>
            </w:pPr>
            <w:r>
              <w:rPr>
                <w:rFonts w:hint="eastAsia" w:ascii="宋体" w:hAnsi="宋体"/>
                <w:sz w:val="24"/>
              </w:rPr>
              <w:t>1批</w:t>
            </w:r>
          </w:p>
        </w:tc>
        <w:tc>
          <w:tcPr>
            <w:tcW w:w="2077" w:type="pct"/>
            <w:vAlign w:val="center"/>
          </w:tcPr>
          <w:p>
            <w:pPr>
              <w:tabs>
                <w:tab w:val="left" w:pos="3433"/>
              </w:tabs>
              <w:snapToGrid w:val="0"/>
              <w:spacing w:line="360" w:lineRule="auto"/>
              <w:rPr>
                <w:rFonts w:ascii="宋体" w:hAnsi="宋体"/>
                <w:kern w:val="0"/>
                <w:sz w:val="24"/>
              </w:rPr>
            </w:pPr>
            <w:r>
              <w:rPr>
                <w:rFonts w:hint="eastAsia" w:ascii="宋体" w:hAnsi="宋体"/>
                <w:kern w:val="0"/>
                <w:sz w:val="24"/>
              </w:rPr>
              <w:t>小写金额：</w:t>
            </w:r>
          </w:p>
          <w:p>
            <w:pPr>
              <w:pStyle w:val="27"/>
              <w:rPr>
                <w:rFonts w:ascii="宋体" w:hAnsi="宋体"/>
                <w:sz w:val="24"/>
              </w:rPr>
            </w:pPr>
            <w:r>
              <w:rPr>
                <w:rFonts w:hint="eastAsia" w:ascii="宋体" w:hAnsi="宋体"/>
                <w:kern w:val="0"/>
                <w:sz w:val="24"/>
              </w:rPr>
              <w:t>大写金额：</w:t>
            </w:r>
          </w:p>
        </w:tc>
      </w:tr>
    </w:tbl>
    <w:p>
      <w:pPr>
        <w:pStyle w:val="27"/>
        <w:rPr>
          <w:rFonts w:ascii="宋体" w:hAnsi="宋体"/>
          <w:sz w:val="24"/>
        </w:rPr>
      </w:pPr>
    </w:p>
    <w:p>
      <w:pPr>
        <w:pStyle w:val="27"/>
        <w:rPr>
          <w:rFonts w:ascii="宋体" w:hAnsi="宋体"/>
          <w:sz w:val="24"/>
        </w:rPr>
      </w:pPr>
      <w:r>
        <w:rPr>
          <w:rFonts w:hint="eastAsia" w:ascii="宋体" w:hAnsi="宋体"/>
          <w:sz w:val="24"/>
        </w:rPr>
        <w:t>附：分项报价表</w:t>
      </w:r>
    </w:p>
    <w:p>
      <w:pPr>
        <w:pStyle w:val="27"/>
        <w:ind w:firstLine="6240" w:firstLineChars="2600"/>
        <w:rPr>
          <w:rFonts w:ascii="宋体" w:hAnsi="宋体"/>
          <w:sz w:val="24"/>
        </w:rPr>
      </w:pPr>
      <w:r>
        <w:rPr>
          <w:rFonts w:hint="eastAsia" w:ascii="宋体" w:hAnsi="宋体"/>
          <w:sz w:val="24"/>
        </w:rPr>
        <w:t>金额单位：人民币元</w:t>
      </w:r>
    </w:p>
    <w:tbl>
      <w:tblPr>
        <w:tblStyle w:val="19"/>
        <w:tblW w:w="47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2148"/>
        <w:gridCol w:w="1734"/>
        <w:gridCol w:w="913"/>
        <w:gridCol w:w="1423"/>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573" w:type="pct"/>
            <w:vAlign w:val="center"/>
          </w:tcPr>
          <w:p>
            <w:pPr>
              <w:pStyle w:val="11"/>
              <w:snapToGrid w:val="0"/>
              <w:ind w:left="-105" w:leftChars="-50" w:right="-105" w:rightChars="-50"/>
              <w:jc w:val="center"/>
              <w:rPr>
                <w:rFonts w:hAnsi="宋体"/>
                <w:sz w:val="24"/>
              </w:rPr>
            </w:pPr>
            <w:r>
              <w:rPr>
                <w:rFonts w:hint="eastAsia" w:hAnsi="宋体"/>
                <w:b/>
                <w:sz w:val="24"/>
              </w:rPr>
              <w:t>合同包</w:t>
            </w:r>
          </w:p>
        </w:tc>
        <w:tc>
          <w:tcPr>
            <w:tcW w:w="1263" w:type="pct"/>
            <w:vAlign w:val="center"/>
          </w:tcPr>
          <w:p>
            <w:pPr>
              <w:pStyle w:val="11"/>
              <w:snapToGrid w:val="0"/>
              <w:ind w:left="-105" w:leftChars="-50" w:right="-105" w:rightChars="-50"/>
              <w:jc w:val="center"/>
              <w:rPr>
                <w:rFonts w:hAnsi="宋体"/>
                <w:sz w:val="24"/>
              </w:rPr>
            </w:pPr>
            <w:r>
              <w:rPr>
                <w:rFonts w:hint="eastAsia" w:hAnsi="宋体"/>
                <w:b/>
                <w:sz w:val="24"/>
              </w:rPr>
              <w:t>商品名称</w:t>
            </w:r>
          </w:p>
        </w:tc>
        <w:tc>
          <w:tcPr>
            <w:tcW w:w="1020" w:type="pct"/>
            <w:vAlign w:val="center"/>
          </w:tcPr>
          <w:p>
            <w:pPr>
              <w:pStyle w:val="11"/>
              <w:snapToGrid w:val="0"/>
              <w:ind w:left="-105" w:leftChars="-50" w:right="-105" w:rightChars="-50"/>
              <w:jc w:val="center"/>
              <w:rPr>
                <w:rFonts w:hAnsi="宋体"/>
                <w:b/>
                <w:sz w:val="24"/>
              </w:rPr>
            </w:pPr>
            <w:r>
              <w:rPr>
                <w:rFonts w:hint="eastAsia" w:hAnsi="宋体"/>
                <w:b/>
                <w:sz w:val="24"/>
              </w:rPr>
              <w:t>品牌型号</w:t>
            </w:r>
          </w:p>
        </w:tc>
        <w:tc>
          <w:tcPr>
            <w:tcW w:w="537" w:type="pct"/>
            <w:vAlign w:val="center"/>
          </w:tcPr>
          <w:p>
            <w:pPr>
              <w:pStyle w:val="11"/>
              <w:snapToGrid w:val="0"/>
              <w:ind w:left="-105" w:leftChars="-50" w:right="-105" w:rightChars="-50"/>
              <w:jc w:val="center"/>
              <w:rPr>
                <w:rFonts w:hAnsi="宋体"/>
                <w:sz w:val="24"/>
              </w:rPr>
            </w:pPr>
            <w:r>
              <w:rPr>
                <w:rFonts w:hint="eastAsia" w:hAnsi="宋体" w:cs="宋体"/>
                <w:b/>
                <w:bCs/>
                <w:sz w:val="24"/>
              </w:rPr>
              <w:t>数量</w:t>
            </w:r>
          </w:p>
        </w:tc>
        <w:tc>
          <w:tcPr>
            <w:tcW w:w="837" w:type="pct"/>
            <w:vAlign w:val="center"/>
          </w:tcPr>
          <w:p>
            <w:pPr>
              <w:pStyle w:val="11"/>
              <w:snapToGrid w:val="0"/>
              <w:ind w:left="-105" w:leftChars="-50" w:right="-105" w:rightChars="-50"/>
              <w:jc w:val="center"/>
              <w:rPr>
                <w:rFonts w:hAnsi="宋体"/>
                <w:b/>
                <w:sz w:val="24"/>
              </w:rPr>
            </w:pPr>
            <w:r>
              <w:rPr>
                <w:rFonts w:hint="eastAsia" w:hAnsi="宋体" w:cs="宋体"/>
                <w:b/>
                <w:bCs/>
                <w:sz w:val="24"/>
              </w:rPr>
              <w:t>单价报价</w:t>
            </w:r>
          </w:p>
        </w:tc>
        <w:tc>
          <w:tcPr>
            <w:tcW w:w="767" w:type="pct"/>
            <w:vAlign w:val="center"/>
          </w:tcPr>
          <w:p>
            <w:pPr>
              <w:pStyle w:val="11"/>
              <w:snapToGrid w:val="0"/>
              <w:ind w:left="-105" w:leftChars="-50" w:right="-105" w:rightChars="-50"/>
              <w:jc w:val="center"/>
              <w:rPr>
                <w:rFonts w:hAnsi="宋体"/>
                <w:b/>
                <w:sz w:val="24"/>
              </w:rPr>
            </w:pPr>
            <w:r>
              <w:rPr>
                <w:rFonts w:hint="eastAsia" w:hAnsi="宋体"/>
                <w:b/>
                <w:sz w:val="24"/>
              </w:rPr>
              <w:t>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573" w:type="pct"/>
            <w:vMerge w:val="restart"/>
            <w:vAlign w:val="center"/>
          </w:tcPr>
          <w:p>
            <w:pPr>
              <w:pStyle w:val="27"/>
              <w:jc w:val="center"/>
              <w:rPr>
                <w:rFonts w:ascii="宋体" w:hAnsi="宋体"/>
                <w:sz w:val="24"/>
              </w:rPr>
            </w:pPr>
            <w:r>
              <w:rPr>
                <w:rFonts w:hint="eastAsia" w:ascii="宋体" w:hAnsi="宋体"/>
                <w:sz w:val="24"/>
              </w:rPr>
              <w:t>1</w:t>
            </w:r>
          </w:p>
        </w:tc>
        <w:tc>
          <w:tcPr>
            <w:tcW w:w="1263" w:type="pct"/>
            <w:vAlign w:val="center"/>
          </w:tcPr>
          <w:p>
            <w:pPr>
              <w:autoSpaceDN w:val="0"/>
              <w:jc w:val="center"/>
              <w:textAlignment w:val="center"/>
              <w:rPr>
                <w:rFonts w:ascii="宋体" w:hAnsi="宋体"/>
                <w:sz w:val="24"/>
              </w:rPr>
            </w:pPr>
            <w:r>
              <w:rPr>
                <w:rFonts w:hint="eastAsia" w:ascii="宋体" w:hAnsi="宋体" w:cs="宋体"/>
                <w:color w:val="000000"/>
                <w:kern w:val="0"/>
                <w:sz w:val="22"/>
              </w:rPr>
              <w:t>拼接处理器</w:t>
            </w:r>
          </w:p>
        </w:tc>
        <w:tc>
          <w:tcPr>
            <w:tcW w:w="1020" w:type="pct"/>
            <w:vAlign w:val="center"/>
          </w:tcPr>
          <w:p>
            <w:pPr>
              <w:autoSpaceDN w:val="0"/>
              <w:jc w:val="center"/>
              <w:textAlignment w:val="center"/>
              <w:rPr>
                <w:rFonts w:ascii="宋体" w:hAnsi="宋体"/>
                <w:sz w:val="24"/>
              </w:rPr>
            </w:pPr>
          </w:p>
        </w:tc>
        <w:tc>
          <w:tcPr>
            <w:tcW w:w="537" w:type="pct"/>
            <w:vAlign w:val="center"/>
          </w:tcPr>
          <w:p>
            <w:pPr>
              <w:autoSpaceDN w:val="0"/>
              <w:jc w:val="center"/>
              <w:textAlignment w:val="center"/>
              <w:rPr>
                <w:rFonts w:ascii="宋体" w:hAnsi="宋体"/>
                <w:sz w:val="24"/>
              </w:rPr>
            </w:pPr>
          </w:p>
        </w:tc>
        <w:tc>
          <w:tcPr>
            <w:tcW w:w="837" w:type="pct"/>
            <w:vAlign w:val="center"/>
          </w:tcPr>
          <w:p>
            <w:pPr>
              <w:widowControl/>
              <w:jc w:val="center"/>
              <w:textAlignment w:val="center"/>
              <w:rPr>
                <w:rFonts w:ascii="宋体" w:hAnsi="宋体"/>
                <w:sz w:val="24"/>
              </w:rPr>
            </w:pPr>
          </w:p>
        </w:tc>
        <w:tc>
          <w:tcPr>
            <w:tcW w:w="767" w:type="pct"/>
            <w:vAlign w:val="center"/>
          </w:tcPr>
          <w:p>
            <w:pPr>
              <w:pStyle w:val="27"/>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573" w:type="pct"/>
            <w:vMerge w:val="continue"/>
            <w:vAlign w:val="center"/>
          </w:tcPr>
          <w:p>
            <w:pPr>
              <w:pStyle w:val="27"/>
              <w:jc w:val="center"/>
              <w:rPr>
                <w:rFonts w:ascii="宋体" w:hAnsi="宋体"/>
                <w:sz w:val="24"/>
              </w:rPr>
            </w:pPr>
          </w:p>
        </w:tc>
        <w:tc>
          <w:tcPr>
            <w:tcW w:w="1263" w:type="pct"/>
            <w:vAlign w:val="center"/>
          </w:tcPr>
          <w:p>
            <w:pPr>
              <w:autoSpaceDN w:val="0"/>
              <w:jc w:val="center"/>
              <w:textAlignment w:val="center"/>
              <w:rPr>
                <w:rFonts w:ascii="宋体" w:hAnsi="宋体"/>
                <w:sz w:val="24"/>
              </w:rPr>
            </w:pPr>
            <w:r>
              <w:rPr>
                <w:rFonts w:hint="eastAsia" w:ascii="宋体" w:hAnsi="宋体" w:cs="宋体"/>
                <w:color w:val="000000"/>
                <w:kern w:val="0"/>
                <w:sz w:val="22"/>
              </w:rPr>
              <w:t>接收卡</w:t>
            </w:r>
          </w:p>
        </w:tc>
        <w:tc>
          <w:tcPr>
            <w:tcW w:w="1020" w:type="pct"/>
            <w:vAlign w:val="center"/>
          </w:tcPr>
          <w:p>
            <w:pPr>
              <w:autoSpaceDN w:val="0"/>
              <w:jc w:val="center"/>
              <w:textAlignment w:val="center"/>
              <w:rPr>
                <w:rFonts w:ascii="宋体" w:hAnsi="宋体"/>
                <w:sz w:val="24"/>
              </w:rPr>
            </w:pPr>
          </w:p>
        </w:tc>
        <w:tc>
          <w:tcPr>
            <w:tcW w:w="537" w:type="pct"/>
            <w:vAlign w:val="center"/>
          </w:tcPr>
          <w:p>
            <w:pPr>
              <w:autoSpaceDN w:val="0"/>
              <w:jc w:val="center"/>
              <w:textAlignment w:val="center"/>
              <w:rPr>
                <w:rFonts w:ascii="宋体" w:hAnsi="宋体"/>
                <w:sz w:val="24"/>
              </w:rPr>
            </w:pPr>
          </w:p>
        </w:tc>
        <w:tc>
          <w:tcPr>
            <w:tcW w:w="837" w:type="pct"/>
            <w:vAlign w:val="center"/>
          </w:tcPr>
          <w:p>
            <w:pPr>
              <w:widowControl/>
              <w:jc w:val="center"/>
              <w:textAlignment w:val="center"/>
              <w:rPr>
                <w:rFonts w:ascii="宋体" w:hAnsi="宋体"/>
                <w:sz w:val="24"/>
              </w:rPr>
            </w:pPr>
          </w:p>
        </w:tc>
        <w:tc>
          <w:tcPr>
            <w:tcW w:w="767" w:type="pct"/>
            <w:vAlign w:val="center"/>
          </w:tcPr>
          <w:p>
            <w:pPr>
              <w:pStyle w:val="27"/>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573" w:type="pct"/>
            <w:vMerge w:val="continue"/>
            <w:vAlign w:val="center"/>
          </w:tcPr>
          <w:p>
            <w:pPr>
              <w:pStyle w:val="27"/>
              <w:jc w:val="center"/>
              <w:rPr>
                <w:rFonts w:ascii="宋体" w:hAnsi="宋体"/>
                <w:sz w:val="24"/>
              </w:rPr>
            </w:pPr>
          </w:p>
        </w:tc>
        <w:tc>
          <w:tcPr>
            <w:tcW w:w="1263" w:type="pct"/>
            <w:vAlign w:val="center"/>
          </w:tcPr>
          <w:p>
            <w:pPr>
              <w:autoSpaceDN w:val="0"/>
              <w:jc w:val="center"/>
              <w:textAlignment w:val="center"/>
              <w:rPr>
                <w:rFonts w:ascii="宋体" w:hAnsi="宋体"/>
                <w:sz w:val="24"/>
              </w:rPr>
            </w:pPr>
            <w:r>
              <w:rPr>
                <w:rFonts w:hint="eastAsia" w:ascii="宋体" w:hAnsi="宋体" w:cs="宋体"/>
                <w:color w:val="000000"/>
                <w:kern w:val="0"/>
                <w:sz w:val="22"/>
              </w:rPr>
              <w:t>配电柜</w:t>
            </w:r>
          </w:p>
        </w:tc>
        <w:tc>
          <w:tcPr>
            <w:tcW w:w="1020" w:type="pct"/>
            <w:vAlign w:val="center"/>
          </w:tcPr>
          <w:p>
            <w:pPr>
              <w:autoSpaceDN w:val="0"/>
              <w:jc w:val="center"/>
              <w:textAlignment w:val="center"/>
              <w:rPr>
                <w:rFonts w:ascii="宋体"/>
                <w:color w:val="000000"/>
                <w:sz w:val="24"/>
              </w:rPr>
            </w:pPr>
          </w:p>
        </w:tc>
        <w:tc>
          <w:tcPr>
            <w:tcW w:w="537" w:type="pct"/>
            <w:vAlign w:val="center"/>
          </w:tcPr>
          <w:p>
            <w:pPr>
              <w:autoSpaceDN w:val="0"/>
              <w:jc w:val="center"/>
              <w:textAlignment w:val="center"/>
              <w:rPr>
                <w:rFonts w:ascii="宋体" w:hAnsi="宋体"/>
                <w:sz w:val="24"/>
              </w:rPr>
            </w:pPr>
          </w:p>
        </w:tc>
        <w:tc>
          <w:tcPr>
            <w:tcW w:w="837" w:type="pct"/>
            <w:vAlign w:val="center"/>
          </w:tcPr>
          <w:p>
            <w:pPr>
              <w:widowControl/>
              <w:jc w:val="center"/>
              <w:textAlignment w:val="center"/>
              <w:rPr>
                <w:rFonts w:ascii="宋体" w:hAnsi="宋体"/>
                <w:sz w:val="24"/>
              </w:rPr>
            </w:pPr>
          </w:p>
        </w:tc>
        <w:tc>
          <w:tcPr>
            <w:tcW w:w="767" w:type="pct"/>
            <w:vAlign w:val="center"/>
          </w:tcPr>
          <w:p>
            <w:pPr>
              <w:pStyle w:val="27"/>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573" w:type="pct"/>
            <w:vMerge w:val="continue"/>
            <w:vAlign w:val="center"/>
          </w:tcPr>
          <w:p>
            <w:pPr>
              <w:pStyle w:val="27"/>
              <w:jc w:val="center"/>
              <w:rPr>
                <w:rFonts w:ascii="宋体" w:hAnsi="宋体"/>
                <w:sz w:val="24"/>
              </w:rPr>
            </w:pPr>
          </w:p>
        </w:tc>
        <w:tc>
          <w:tcPr>
            <w:tcW w:w="1263" w:type="pct"/>
            <w:vAlign w:val="center"/>
          </w:tcPr>
          <w:p>
            <w:pPr>
              <w:autoSpaceDN w:val="0"/>
              <w:jc w:val="center"/>
              <w:textAlignment w:val="center"/>
              <w:rPr>
                <w:rFonts w:ascii="宋体" w:hAnsi="宋体"/>
                <w:sz w:val="24"/>
              </w:rPr>
            </w:pPr>
            <w:r>
              <w:rPr>
                <w:rFonts w:hint="eastAsia" w:ascii="宋体" w:hAnsi="宋体" w:cs="宋体"/>
                <w:color w:val="000000"/>
                <w:kern w:val="0"/>
                <w:sz w:val="22"/>
              </w:rPr>
              <w:t>安装</w:t>
            </w:r>
          </w:p>
        </w:tc>
        <w:tc>
          <w:tcPr>
            <w:tcW w:w="1020" w:type="pct"/>
            <w:vAlign w:val="center"/>
          </w:tcPr>
          <w:p>
            <w:pPr>
              <w:autoSpaceDN w:val="0"/>
              <w:jc w:val="center"/>
              <w:textAlignment w:val="center"/>
              <w:rPr>
                <w:rFonts w:hint="eastAsia" w:ascii="宋体" w:eastAsia="宋体"/>
                <w:color w:val="000000"/>
                <w:sz w:val="24"/>
                <w:lang w:val="en-US" w:eastAsia="zh-CN"/>
              </w:rPr>
            </w:pPr>
            <w:r>
              <w:rPr>
                <w:rFonts w:hint="eastAsia" w:ascii="宋体"/>
                <w:color w:val="000000"/>
                <w:sz w:val="24"/>
                <w:lang w:val="en-US" w:eastAsia="zh-CN"/>
              </w:rPr>
              <w:t>/</w:t>
            </w:r>
          </w:p>
        </w:tc>
        <w:tc>
          <w:tcPr>
            <w:tcW w:w="537" w:type="pct"/>
            <w:vAlign w:val="center"/>
          </w:tcPr>
          <w:p>
            <w:pPr>
              <w:autoSpaceDN w:val="0"/>
              <w:jc w:val="center"/>
              <w:textAlignment w:val="center"/>
              <w:rPr>
                <w:rFonts w:ascii="宋体" w:hAnsi="宋体"/>
                <w:sz w:val="24"/>
              </w:rPr>
            </w:pPr>
          </w:p>
        </w:tc>
        <w:tc>
          <w:tcPr>
            <w:tcW w:w="837" w:type="pct"/>
            <w:vAlign w:val="center"/>
          </w:tcPr>
          <w:p>
            <w:pPr>
              <w:widowControl/>
              <w:jc w:val="center"/>
              <w:textAlignment w:val="center"/>
              <w:rPr>
                <w:rFonts w:ascii="宋体" w:hAnsi="宋体"/>
                <w:sz w:val="24"/>
              </w:rPr>
            </w:pPr>
          </w:p>
        </w:tc>
        <w:tc>
          <w:tcPr>
            <w:tcW w:w="767" w:type="pct"/>
            <w:vAlign w:val="center"/>
          </w:tcPr>
          <w:p>
            <w:pPr>
              <w:pStyle w:val="27"/>
              <w:jc w:val="center"/>
              <w:rPr>
                <w:rFonts w:ascii="宋体" w:hAnsi="宋体"/>
                <w:sz w:val="24"/>
              </w:rPr>
            </w:pPr>
          </w:p>
        </w:tc>
      </w:tr>
    </w:tbl>
    <w:p>
      <w:pPr>
        <w:pStyle w:val="17"/>
        <w:spacing w:before="0" w:beforeAutospacing="0" w:after="0" w:afterAutospacing="0" w:line="400" w:lineRule="exact"/>
      </w:pPr>
      <w:r>
        <w:rPr>
          <w:rFonts w:hint="eastAsia"/>
        </w:rPr>
        <w:t>※注意：</w:t>
      </w:r>
    </w:p>
    <w:p>
      <w:pPr>
        <w:pStyle w:val="17"/>
        <w:spacing w:before="0" w:beforeAutospacing="0" w:after="0" w:afterAutospacing="0" w:line="400" w:lineRule="exact"/>
      </w:pPr>
      <w:r>
        <w:rPr>
          <w:rFonts w:hint="eastAsia"/>
        </w:rPr>
        <w:t>1、本表应按照下列规定填写：</w:t>
      </w:r>
    </w:p>
    <w:p>
      <w:pPr>
        <w:pStyle w:val="17"/>
        <w:spacing w:before="0" w:beforeAutospacing="0" w:after="0" w:afterAutospacing="0" w:line="400" w:lineRule="exact"/>
      </w:pPr>
      <w:r>
        <w:rPr>
          <w:rFonts w:hint="eastAsia"/>
        </w:rPr>
        <w:t>1.1竞价人应按照本表格式填写所投合同包的分项报价，其中：“合同包”、“品目号”、“采购标的”及“数量”应与网上竞价文件《采购标的一览表》中的有关内容（“合同包”、“品目号”、“采购标的”及“数量”）保持一致，以此类推。</w:t>
      </w:r>
    </w:p>
    <w:p>
      <w:pPr>
        <w:pStyle w:val="17"/>
        <w:spacing w:before="0" w:beforeAutospacing="0" w:after="0" w:afterAutospacing="0" w:line="400" w:lineRule="exact"/>
      </w:pPr>
      <w:r>
        <w:rPr>
          <w:rFonts w:hint="eastAsia"/>
        </w:rPr>
        <w:t>1.2同一合同包中，</w:t>
      </w:r>
      <w:r>
        <w:rPr>
          <w:rStyle w:val="21"/>
          <w:rFonts w:hint="eastAsia"/>
        </w:rPr>
        <w:t>“单价”</w:t>
      </w:r>
      <w:r>
        <w:rPr>
          <w:rFonts w:hint="eastAsia"/>
        </w:rPr>
        <w:t>×</w:t>
      </w:r>
      <w:r>
        <w:rPr>
          <w:rStyle w:val="21"/>
          <w:rFonts w:hint="eastAsia"/>
        </w:rPr>
        <w:t>“数量”</w:t>
      </w:r>
      <w:r>
        <w:rPr>
          <w:rFonts w:hint="eastAsia"/>
        </w:rPr>
        <w:t>=</w:t>
      </w:r>
      <w:r>
        <w:rPr>
          <w:rStyle w:val="21"/>
          <w:rFonts w:hint="eastAsia"/>
        </w:rPr>
        <w:t>“总价”</w:t>
      </w:r>
      <w:r>
        <w:rPr>
          <w:rFonts w:hint="eastAsia"/>
        </w:rPr>
        <w:t>，全部品目号</w:t>
      </w:r>
      <w:r>
        <w:rPr>
          <w:rStyle w:val="21"/>
          <w:rFonts w:hint="eastAsia"/>
        </w:rPr>
        <w:t>“总价”</w:t>
      </w:r>
      <w:r>
        <w:rPr>
          <w:rFonts w:hint="eastAsia"/>
        </w:rPr>
        <w:t>的合计金额应与合同包列示的</w:t>
      </w:r>
      <w:r>
        <w:rPr>
          <w:rStyle w:val="21"/>
          <w:rFonts w:hint="eastAsia"/>
        </w:rPr>
        <w:t>“竞价总价”</w:t>
      </w:r>
      <w:r>
        <w:rPr>
          <w:rFonts w:hint="eastAsia"/>
        </w:rPr>
        <w:t>保持一致</w:t>
      </w:r>
    </w:p>
    <w:p>
      <w:pPr>
        <w:pStyle w:val="17"/>
        <w:spacing w:before="0" w:beforeAutospacing="0" w:after="0" w:afterAutospacing="0" w:line="400" w:lineRule="exact"/>
      </w:pPr>
      <w:r>
        <w:rPr>
          <w:rFonts w:hint="eastAsia"/>
        </w:rPr>
        <w:t>1.3“大写金额”指“竞价报价”应用“壹、贰、叁、肆、伍、陆、柒、捌、玖、拾、佰、仟、万、亿、元、角、分、零”等进行填写。 </w:t>
      </w:r>
    </w:p>
    <w:p>
      <w:pPr>
        <w:pStyle w:val="17"/>
        <w:spacing w:before="0" w:beforeAutospacing="0" w:after="0" w:afterAutospacing="0" w:line="460" w:lineRule="exact"/>
      </w:pPr>
    </w:p>
    <w:p>
      <w:pPr>
        <w:spacing w:line="460" w:lineRule="exact"/>
        <w:ind w:firstLine="3240" w:firstLineChars="1350"/>
        <w:jc w:val="left"/>
        <w:rPr>
          <w:rFonts w:ascii="宋体" w:hAnsi="宋体" w:cs="宋体"/>
          <w:sz w:val="24"/>
        </w:rPr>
      </w:pPr>
      <w:r>
        <w:rPr>
          <w:rFonts w:hint="eastAsia" w:ascii="宋体" w:hAnsi="宋体" w:cs="宋体"/>
          <w:sz w:val="24"/>
        </w:rPr>
        <w:t>竞价人（全称并加盖公章）：</w:t>
      </w:r>
    </w:p>
    <w:p>
      <w:pPr>
        <w:spacing w:line="460" w:lineRule="exact"/>
        <w:ind w:firstLine="3240" w:firstLineChars="1350"/>
        <w:jc w:val="left"/>
        <w:rPr>
          <w:rFonts w:ascii="宋体" w:hAnsi="宋体" w:cs="宋体"/>
          <w:sz w:val="24"/>
        </w:rPr>
      </w:pPr>
      <w:r>
        <w:rPr>
          <w:rFonts w:hint="eastAsia" w:ascii="宋体" w:hAnsi="宋体" w:cs="宋体"/>
          <w:sz w:val="24"/>
        </w:rPr>
        <w:t>竞价人代表签字：</w:t>
      </w:r>
    </w:p>
    <w:p>
      <w:pPr>
        <w:spacing w:line="460" w:lineRule="exact"/>
        <w:ind w:firstLine="3240" w:firstLineChars="1350"/>
        <w:jc w:val="left"/>
      </w:pPr>
      <w:r>
        <w:rPr>
          <w:rFonts w:hint="eastAsia" w:ascii="宋体" w:hAnsi="宋体" w:cs="宋体"/>
          <w:sz w:val="24"/>
        </w:rPr>
        <w:t>日期：</w:t>
      </w:r>
    </w:p>
    <w:sectPr>
      <w:pgSz w:w="11906" w:h="16838"/>
      <w:pgMar w:top="1417" w:right="1800"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E3D1C"/>
    <w:multiLevelType w:val="singleLevel"/>
    <w:tmpl w:val="1B3E3D1C"/>
    <w:lvl w:ilvl="0" w:tentative="0">
      <w:start w:val="7"/>
      <w:numFmt w:val="decimal"/>
      <w:suff w:val="nothing"/>
      <w:lvlText w:val="%1、"/>
      <w:lvlJc w:val="left"/>
    </w:lvl>
  </w:abstractNum>
  <w:abstractNum w:abstractNumId="1">
    <w:nsid w:val="4827B3E6"/>
    <w:multiLevelType w:val="singleLevel"/>
    <w:tmpl w:val="4827B3E6"/>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NTllM2Y0Yzg4YWRmYTExYTAxY2QzMmQ5YTk3NTkifQ=="/>
  </w:docVars>
  <w:rsids>
    <w:rsidRoot w:val="0092357E"/>
    <w:rsid w:val="00370544"/>
    <w:rsid w:val="003F1F94"/>
    <w:rsid w:val="00515B4A"/>
    <w:rsid w:val="00872FF8"/>
    <w:rsid w:val="009075E4"/>
    <w:rsid w:val="0092357E"/>
    <w:rsid w:val="00A065BA"/>
    <w:rsid w:val="00A34EB2"/>
    <w:rsid w:val="00A448A8"/>
    <w:rsid w:val="00B627BD"/>
    <w:rsid w:val="00DF61F5"/>
    <w:rsid w:val="02251150"/>
    <w:rsid w:val="028D5405"/>
    <w:rsid w:val="02A570F8"/>
    <w:rsid w:val="032850FC"/>
    <w:rsid w:val="04502C00"/>
    <w:rsid w:val="047D0BD4"/>
    <w:rsid w:val="057D75A4"/>
    <w:rsid w:val="06DB482C"/>
    <w:rsid w:val="07612A84"/>
    <w:rsid w:val="092F2C98"/>
    <w:rsid w:val="0A557AA3"/>
    <w:rsid w:val="0A794D80"/>
    <w:rsid w:val="0A7D3F3C"/>
    <w:rsid w:val="0AC3352F"/>
    <w:rsid w:val="0C2D5CD4"/>
    <w:rsid w:val="0DDD28C5"/>
    <w:rsid w:val="10192649"/>
    <w:rsid w:val="101E3504"/>
    <w:rsid w:val="10FA4EB3"/>
    <w:rsid w:val="125D50D6"/>
    <w:rsid w:val="129F0AAC"/>
    <w:rsid w:val="12FD4E61"/>
    <w:rsid w:val="1314697E"/>
    <w:rsid w:val="13F15336"/>
    <w:rsid w:val="144465DC"/>
    <w:rsid w:val="14F83997"/>
    <w:rsid w:val="15284F2C"/>
    <w:rsid w:val="159F14ED"/>
    <w:rsid w:val="164861EC"/>
    <w:rsid w:val="174B43DB"/>
    <w:rsid w:val="17554E86"/>
    <w:rsid w:val="178C4B22"/>
    <w:rsid w:val="178F2581"/>
    <w:rsid w:val="17A607B9"/>
    <w:rsid w:val="18C40C77"/>
    <w:rsid w:val="18F36391"/>
    <w:rsid w:val="1A1D1135"/>
    <w:rsid w:val="1A3250C5"/>
    <w:rsid w:val="1A9923CA"/>
    <w:rsid w:val="1AD87A43"/>
    <w:rsid w:val="1BB71AC6"/>
    <w:rsid w:val="1D120B8C"/>
    <w:rsid w:val="1D68716B"/>
    <w:rsid w:val="1D783113"/>
    <w:rsid w:val="1E914CA6"/>
    <w:rsid w:val="1F32168E"/>
    <w:rsid w:val="21211176"/>
    <w:rsid w:val="214C1833"/>
    <w:rsid w:val="215626EE"/>
    <w:rsid w:val="22473E0E"/>
    <w:rsid w:val="225549DB"/>
    <w:rsid w:val="22F04641"/>
    <w:rsid w:val="24131D92"/>
    <w:rsid w:val="24D27253"/>
    <w:rsid w:val="25A64D89"/>
    <w:rsid w:val="25A96163"/>
    <w:rsid w:val="25F22E55"/>
    <w:rsid w:val="266A76C2"/>
    <w:rsid w:val="26792BAA"/>
    <w:rsid w:val="268C159D"/>
    <w:rsid w:val="296722E8"/>
    <w:rsid w:val="2A41271B"/>
    <w:rsid w:val="2ACA31E0"/>
    <w:rsid w:val="2BC62B48"/>
    <w:rsid w:val="2D3B0D0E"/>
    <w:rsid w:val="2DCC55D5"/>
    <w:rsid w:val="2E0C3364"/>
    <w:rsid w:val="2F9C0794"/>
    <w:rsid w:val="30363EB4"/>
    <w:rsid w:val="311A73B3"/>
    <w:rsid w:val="32A314EE"/>
    <w:rsid w:val="32F20B25"/>
    <w:rsid w:val="334761A7"/>
    <w:rsid w:val="35064C8D"/>
    <w:rsid w:val="358D15AD"/>
    <w:rsid w:val="359C6669"/>
    <w:rsid w:val="36262261"/>
    <w:rsid w:val="38C0337F"/>
    <w:rsid w:val="3B530501"/>
    <w:rsid w:val="3BA42229"/>
    <w:rsid w:val="3BCB4EBB"/>
    <w:rsid w:val="3C3A5E97"/>
    <w:rsid w:val="3E321CDD"/>
    <w:rsid w:val="40A142F2"/>
    <w:rsid w:val="4172680D"/>
    <w:rsid w:val="41856489"/>
    <w:rsid w:val="41CC419D"/>
    <w:rsid w:val="455A6376"/>
    <w:rsid w:val="45B255E2"/>
    <w:rsid w:val="47BB0C1E"/>
    <w:rsid w:val="48500DF2"/>
    <w:rsid w:val="497D6989"/>
    <w:rsid w:val="4988722B"/>
    <w:rsid w:val="499A72FA"/>
    <w:rsid w:val="49F76D4D"/>
    <w:rsid w:val="4AC17735"/>
    <w:rsid w:val="4B6A6CA9"/>
    <w:rsid w:val="4BB40B41"/>
    <w:rsid w:val="4BFE6021"/>
    <w:rsid w:val="4C082AA3"/>
    <w:rsid w:val="4CEE1B95"/>
    <w:rsid w:val="502A587C"/>
    <w:rsid w:val="521424E0"/>
    <w:rsid w:val="527A40BF"/>
    <w:rsid w:val="52FE69F6"/>
    <w:rsid w:val="53D708D8"/>
    <w:rsid w:val="54A63942"/>
    <w:rsid w:val="55B501C3"/>
    <w:rsid w:val="566E1612"/>
    <w:rsid w:val="567B3AB7"/>
    <w:rsid w:val="574216F0"/>
    <w:rsid w:val="583228D2"/>
    <w:rsid w:val="58DB1F9E"/>
    <w:rsid w:val="59E554D9"/>
    <w:rsid w:val="5A47702B"/>
    <w:rsid w:val="5B9533F1"/>
    <w:rsid w:val="5C020A22"/>
    <w:rsid w:val="5C5A71C2"/>
    <w:rsid w:val="5CA45F67"/>
    <w:rsid w:val="5D50753A"/>
    <w:rsid w:val="5D8817F9"/>
    <w:rsid w:val="5E581905"/>
    <w:rsid w:val="5E767EDE"/>
    <w:rsid w:val="5EF42257"/>
    <w:rsid w:val="5F084A9F"/>
    <w:rsid w:val="5F5D2CCA"/>
    <w:rsid w:val="60CE487F"/>
    <w:rsid w:val="60FD2BA2"/>
    <w:rsid w:val="647C6E57"/>
    <w:rsid w:val="64A70DF2"/>
    <w:rsid w:val="65D23585"/>
    <w:rsid w:val="65EE6CC4"/>
    <w:rsid w:val="65FF5D35"/>
    <w:rsid w:val="667B1AFD"/>
    <w:rsid w:val="66E86135"/>
    <w:rsid w:val="68C3111C"/>
    <w:rsid w:val="690E3496"/>
    <w:rsid w:val="698536CB"/>
    <w:rsid w:val="6C6C1FB9"/>
    <w:rsid w:val="6CFA7CED"/>
    <w:rsid w:val="6D9F1278"/>
    <w:rsid w:val="6E9D3265"/>
    <w:rsid w:val="6EA2262A"/>
    <w:rsid w:val="6EE025C2"/>
    <w:rsid w:val="6EEB61B5"/>
    <w:rsid w:val="6F1A32D7"/>
    <w:rsid w:val="6F1C418A"/>
    <w:rsid w:val="6F2474E3"/>
    <w:rsid w:val="6F791B6A"/>
    <w:rsid w:val="706B15E0"/>
    <w:rsid w:val="70CE2A4C"/>
    <w:rsid w:val="718464CC"/>
    <w:rsid w:val="722C2936"/>
    <w:rsid w:val="724E4FA2"/>
    <w:rsid w:val="73561DCE"/>
    <w:rsid w:val="737F43B9"/>
    <w:rsid w:val="739A497A"/>
    <w:rsid w:val="73BA79C4"/>
    <w:rsid w:val="747D7FB4"/>
    <w:rsid w:val="74F7433E"/>
    <w:rsid w:val="757179AB"/>
    <w:rsid w:val="761B566E"/>
    <w:rsid w:val="77300036"/>
    <w:rsid w:val="77ED253E"/>
    <w:rsid w:val="78357BF9"/>
    <w:rsid w:val="794C55C6"/>
    <w:rsid w:val="79EB4070"/>
    <w:rsid w:val="7A41775B"/>
    <w:rsid w:val="7ADA7319"/>
    <w:rsid w:val="7E2D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340" w:after="330" w:line="576" w:lineRule="auto"/>
      <w:outlineLvl w:val="0"/>
    </w:pPr>
    <w:rPr>
      <w:b/>
      <w:kern w:val="44"/>
      <w:sz w:val="44"/>
    </w:rPr>
  </w:style>
  <w:style w:type="paragraph" w:styleId="8">
    <w:name w:val="heading 2"/>
    <w:basedOn w:val="1"/>
    <w:next w:val="1"/>
    <w:qFormat/>
    <w:uiPriority w:val="0"/>
    <w:pPr>
      <w:spacing w:beforeAutospacing="1" w:afterAutospacing="1"/>
      <w:jc w:val="left"/>
      <w:outlineLvl w:val="1"/>
    </w:pPr>
    <w:rPr>
      <w:rFonts w:ascii="宋体" w:hAnsi="宋体"/>
      <w:b/>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Calibri" w:hAnsi="Calibri"/>
    </w:rPr>
  </w:style>
  <w:style w:type="paragraph" w:styleId="3">
    <w:name w:val="Body Text"/>
    <w:basedOn w:val="1"/>
    <w:next w:val="1"/>
    <w:qFormat/>
    <w:uiPriority w:val="0"/>
    <w:pPr>
      <w:spacing w:after="120"/>
    </w:pPr>
  </w:style>
  <w:style w:type="paragraph" w:styleId="4">
    <w:name w:val="Body Text First Indent 2"/>
    <w:basedOn w:val="5"/>
    <w:qFormat/>
    <w:uiPriority w:val="99"/>
    <w:pPr>
      <w:tabs>
        <w:tab w:val="left" w:pos="4606"/>
      </w:tabs>
      <w:ind w:firstLine="420"/>
    </w:p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9">
    <w:name w:val="Normal Indent"/>
    <w:basedOn w:val="1"/>
    <w:next w:val="5"/>
    <w:qFormat/>
    <w:uiPriority w:val="0"/>
    <w:pPr>
      <w:ind w:firstLine="420"/>
    </w:pPr>
    <w:rPr>
      <w:szCs w:val="20"/>
    </w:rPr>
  </w:style>
  <w:style w:type="paragraph" w:styleId="10">
    <w:name w:val="annotation text"/>
    <w:basedOn w:val="1"/>
    <w:qFormat/>
    <w:uiPriority w:val="0"/>
    <w:pPr>
      <w:jc w:val="left"/>
    </w:pPr>
  </w:style>
  <w:style w:type="paragraph" w:styleId="11">
    <w:name w:val="Plain Text"/>
    <w:basedOn w:val="1"/>
    <w:qFormat/>
    <w:uiPriority w:val="0"/>
    <w:rPr>
      <w:rFonts w:ascii="宋体" w:hAnsi="Courier New"/>
      <w:kern w:val="0"/>
      <w:sz w:val="20"/>
    </w:rPr>
  </w:style>
  <w:style w:type="paragraph" w:styleId="12">
    <w:name w:val="Body Text Indent 2"/>
    <w:basedOn w:val="1"/>
    <w:qFormat/>
    <w:uiPriority w:val="0"/>
    <w:pPr>
      <w:widowControl/>
      <w:spacing w:after="120" w:line="480" w:lineRule="auto"/>
      <w:ind w:left="420" w:leftChars="200"/>
      <w:jc w:val="left"/>
    </w:pPr>
    <w:rPr>
      <w:rFonts w:ascii="宋体" w:hAnsi="宋体"/>
      <w:kern w:val="0"/>
      <w:sz w:val="24"/>
    </w:rPr>
  </w:style>
  <w:style w:type="paragraph" w:styleId="13">
    <w:name w:val="Balloon Text"/>
    <w:basedOn w:val="1"/>
    <w:next w:val="1"/>
    <w:qFormat/>
    <w:uiPriority w:val="0"/>
    <w:rPr>
      <w:rFonts w:eastAsia="Times New Roman"/>
      <w:sz w:val="18"/>
      <w:szCs w:val="18"/>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qFormat/>
    <w:uiPriority w:val="0"/>
  </w:style>
  <w:style w:type="character" w:styleId="23">
    <w:name w:val="annotation reference"/>
    <w:basedOn w:val="20"/>
    <w:qFormat/>
    <w:uiPriority w:val="0"/>
    <w:rPr>
      <w:sz w:val="21"/>
      <w:szCs w:val="21"/>
    </w:rPr>
  </w:style>
  <w:style w:type="paragraph" w:customStyle="1" w:styleId="24">
    <w:name w:val="FC正文"/>
    <w:basedOn w:val="1"/>
    <w:qFormat/>
    <w:uiPriority w:val="0"/>
    <w:pPr>
      <w:snapToGrid w:val="0"/>
      <w:spacing w:beforeLines="50" w:afterLines="50" w:line="360" w:lineRule="auto"/>
      <w:ind w:firstLine="480" w:firstLineChars="200"/>
      <w:contextualSpacing/>
    </w:pPr>
    <w:rPr>
      <w:sz w:val="24"/>
    </w:rPr>
  </w:style>
  <w:style w:type="paragraph" w:customStyle="1" w:styleId="25">
    <w:name w:val="Fließtext"/>
    <w:basedOn w:val="1"/>
    <w:qFormat/>
    <w:uiPriority w:val="0"/>
    <w:pPr>
      <w:overflowPunct w:val="0"/>
      <w:autoSpaceDE w:val="0"/>
      <w:autoSpaceDN w:val="0"/>
      <w:adjustRightInd w:val="0"/>
      <w:textAlignment w:val="baseline"/>
    </w:pPr>
    <w:rPr>
      <w:kern w:val="28"/>
      <w:szCs w:val="20"/>
    </w:rPr>
  </w:style>
  <w:style w:type="character" w:customStyle="1" w:styleId="26">
    <w:name w:val="NormalCharacter"/>
    <w:semiHidden/>
    <w:qFormat/>
    <w:uiPriority w:val="0"/>
    <w:rPr>
      <w:kern w:val="2"/>
      <w:sz w:val="21"/>
      <w:szCs w:val="24"/>
      <w:lang w:val="en-US" w:eastAsia="zh-CN" w:bidi="ar-SA"/>
    </w:rPr>
  </w:style>
  <w:style w:type="paragraph" w:customStyle="1" w:styleId="27">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样式3"/>
    <w:basedOn w:val="11"/>
    <w:qFormat/>
    <w:uiPriority w:val="0"/>
    <w:pPr>
      <w:spacing w:line="0" w:lineRule="atLeast"/>
      <w:outlineLvl w:val="0"/>
    </w:pPr>
    <w:rPr>
      <w:sz w:val="28"/>
    </w:rPr>
  </w:style>
  <w:style w:type="character" w:customStyle="1" w:styleId="29">
    <w:name w:val="apple-converted-space"/>
    <w:qFormat/>
    <w:uiPriority w:val="0"/>
    <w:rPr>
      <w:rFonts w:ascii="Times New Roman" w:hAnsi="Times New Roman" w:eastAsia="宋体" w:cs="Times New Roman"/>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2">
    <w:name w:val="列表段落1"/>
    <w:basedOn w:val="1"/>
    <w:qFormat/>
    <w:uiPriority w:val="0"/>
    <w:pPr>
      <w:ind w:firstLine="420" w:firstLineChars="200"/>
    </w:pPr>
    <w:rPr>
      <w:rFonts w:ascii="Calibri" w:hAnsi="Calibri"/>
      <w:szCs w:val="22"/>
    </w:rPr>
  </w:style>
  <w:style w:type="paragraph" w:customStyle="1" w:styleId="33">
    <w:name w:val="样式"/>
    <w:qFormat/>
    <w:uiPriority w:val="0"/>
    <w:pPr>
      <w:widowControl w:val="0"/>
      <w:autoSpaceDE w:val="0"/>
      <w:autoSpaceDN w:val="0"/>
      <w:adjustRightInd w:val="0"/>
    </w:pPr>
    <w:rPr>
      <w:rFonts w:ascii="宋体" w:hAnsi="等线" w:eastAsia="宋体" w:cs="宋体"/>
      <w:sz w:val="24"/>
      <w:szCs w:val="24"/>
      <w:lang w:val="en-US" w:eastAsia="zh-CN" w:bidi="ar-SA"/>
    </w:rPr>
  </w:style>
  <w:style w:type="paragraph" w:customStyle="1" w:styleId="34">
    <w:name w:val="正文_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F3767-8260-4816-878E-10B9A89B0909}">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12746</Words>
  <Characters>13584</Characters>
  <Lines>109</Lines>
  <Paragraphs>30</Paragraphs>
  <TotalTime>3</TotalTime>
  <ScaleCrop>false</ScaleCrop>
  <LinksUpToDate>false</LinksUpToDate>
  <CharactersWithSpaces>14404</CharactersWithSpaces>
  <Application>WPS Office_11.1.0.13609_F1E327BC-269C-435d-A152-05C5408002CA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2022-06-28T08:09:00Z</dcterms:created>
  <dc:creator>Administrator</dc:creator>
  <cp:lastModifiedBy>Administrator</cp:lastModifiedBy>
  <cp:lastPrinted>2022-07-08T03:28:00Z</cp:lastPrinted>
  <dcterms:modified xsi:type="dcterms:W3CDTF">2022-12-23T06:35:28Z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2052-11.1.0.13609</vt:lpwstr>
  </property>
  <property fmtid="{D5CDD505-2E9C-101B-9397-08002B2CF9AE}" pid="3" name="ICV">
    <vt:lpwstr>A50852D85DA14FBFACC4FCB2ACDFFF9A</vt:lpwstr>
  </property>
</Properties>
</file>