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00" w:lineRule="exact"/>
        <w:jc w:val="center"/>
        <w:rPr>
          <w:rFonts w:ascii="宋体" w:hAnsi="宋体"/>
          <w:b/>
          <w:bCs/>
          <w:color w:val="auto"/>
          <w:sz w:val="96"/>
          <w:szCs w:val="96"/>
          <w:highlight w:val="none"/>
        </w:rPr>
      </w:pPr>
    </w:p>
    <w:p>
      <w:pPr>
        <w:autoSpaceDE w:val="0"/>
        <w:autoSpaceDN w:val="0"/>
        <w:adjustRightInd w:val="0"/>
        <w:spacing w:line="1400" w:lineRule="exact"/>
        <w:jc w:val="center"/>
        <w:rPr>
          <w:rFonts w:ascii="宋体" w:hAnsi="宋体"/>
          <w:b/>
          <w:bCs/>
          <w:color w:val="auto"/>
          <w:sz w:val="96"/>
          <w:szCs w:val="96"/>
          <w:highlight w:val="none"/>
        </w:rPr>
      </w:pPr>
      <w:r>
        <w:rPr>
          <w:rFonts w:hint="eastAsia" w:ascii="宋体" w:hAnsi="宋体"/>
          <w:b/>
          <w:bCs/>
          <w:color w:val="auto"/>
          <w:sz w:val="96"/>
          <w:szCs w:val="96"/>
          <w:highlight w:val="none"/>
        </w:rPr>
        <w:t>福建农林大学</w:t>
      </w:r>
    </w:p>
    <w:p>
      <w:pPr>
        <w:autoSpaceDE w:val="0"/>
        <w:autoSpaceDN w:val="0"/>
        <w:adjustRightInd w:val="0"/>
        <w:spacing w:line="1400" w:lineRule="exact"/>
        <w:jc w:val="center"/>
        <w:rPr>
          <w:rFonts w:ascii="宋体" w:hAnsi="宋体"/>
          <w:b/>
          <w:bCs/>
          <w:color w:val="auto"/>
          <w:sz w:val="96"/>
          <w:szCs w:val="96"/>
          <w:highlight w:val="none"/>
        </w:rPr>
      </w:pPr>
      <w:r>
        <w:rPr>
          <w:rFonts w:hint="eastAsia" w:ascii="宋体" w:hAnsi="宋体"/>
          <w:b/>
          <w:bCs/>
          <w:color w:val="auto"/>
          <w:sz w:val="96"/>
          <w:szCs w:val="96"/>
          <w:highlight w:val="none"/>
        </w:rPr>
        <w:t>网上竞价文件</w:t>
      </w:r>
    </w:p>
    <w:p>
      <w:pPr>
        <w:autoSpaceDE w:val="0"/>
        <w:autoSpaceDN w:val="0"/>
        <w:adjustRightInd w:val="0"/>
        <w:spacing w:line="500" w:lineRule="atLeast"/>
        <w:jc w:val="center"/>
        <w:rPr>
          <w:rFonts w:ascii="宋体" w:hAnsi="宋体"/>
          <w:b/>
          <w:bCs/>
          <w:color w:val="auto"/>
          <w:sz w:val="36"/>
          <w:szCs w:val="36"/>
          <w:highlight w:val="none"/>
        </w:rPr>
      </w:pPr>
    </w:p>
    <w:p>
      <w:pPr>
        <w:pStyle w:val="2"/>
        <w:jc w:val="center"/>
        <w:rPr>
          <w:color w:val="auto"/>
          <w:highlight w:val="none"/>
        </w:rPr>
      </w:pPr>
    </w:p>
    <w:p>
      <w:pPr>
        <w:autoSpaceDE w:val="0"/>
        <w:autoSpaceDN w:val="0"/>
        <w:adjustRightInd w:val="0"/>
        <w:spacing w:line="500" w:lineRule="atLeast"/>
        <w:jc w:val="center"/>
        <w:rPr>
          <w:rFonts w:ascii="宋体" w:hAnsi="宋体"/>
          <w:b/>
          <w:bCs/>
          <w:color w:val="auto"/>
          <w:sz w:val="36"/>
          <w:szCs w:val="36"/>
          <w:highlight w:val="none"/>
        </w:rPr>
      </w:pPr>
    </w:p>
    <w:p>
      <w:pPr>
        <w:autoSpaceDE w:val="0"/>
        <w:autoSpaceDN w:val="0"/>
        <w:adjustRightInd w:val="0"/>
        <w:spacing w:line="360" w:lineRule="auto"/>
        <w:jc w:val="center"/>
        <w:rPr>
          <w:rFonts w:ascii="宋体" w:hAnsi="宋体"/>
          <w:b/>
          <w:bCs/>
          <w:color w:val="auto"/>
          <w:sz w:val="30"/>
          <w:szCs w:val="30"/>
          <w:highlight w:val="none"/>
          <w:lang w:val="zh-CN"/>
        </w:rPr>
      </w:pPr>
    </w:p>
    <w:p>
      <w:pPr>
        <w:autoSpaceDE w:val="0"/>
        <w:autoSpaceDN w:val="0"/>
        <w:adjustRightInd w:val="0"/>
        <w:spacing w:line="800" w:lineRule="exact"/>
        <w:ind w:left="1050" w:leftChars="500"/>
        <w:rPr>
          <w:rFonts w:ascii="宋体" w:hAnsi="宋体"/>
          <w:b/>
          <w:bCs/>
          <w:color w:val="auto"/>
          <w:sz w:val="30"/>
          <w:szCs w:val="30"/>
          <w:highlight w:val="none"/>
        </w:rPr>
      </w:pPr>
      <w:r>
        <w:rPr>
          <w:rFonts w:hint="eastAsia" w:ascii="宋体" w:hAnsi="宋体"/>
          <w:b/>
          <w:bCs/>
          <w:color w:val="auto"/>
          <w:sz w:val="30"/>
          <w:szCs w:val="30"/>
          <w:highlight w:val="none"/>
          <w:lang w:val="zh-CN"/>
        </w:rPr>
        <w:t>项目编号：</w:t>
      </w:r>
      <w:r>
        <w:rPr>
          <w:rFonts w:hint="eastAsia" w:ascii="宋体" w:hAnsi="宋体"/>
          <w:b/>
          <w:bCs/>
          <w:color w:val="auto"/>
          <w:sz w:val="30"/>
          <w:szCs w:val="30"/>
          <w:highlight w:val="none"/>
        </w:rPr>
        <w:t>FJHR-2022-W65</w:t>
      </w:r>
    </w:p>
    <w:p>
      <w:pPr>
        <w:autoSpaceDE w:val="0"/>
        <w:autoSpaceDN w:val="0"/>
        <w:adjustRightInd w:val="0"/>
        <w:spacing w:line="800" w:lineRule="exact"/>
        <w:ind w:left="1050" w:leftChars="500"/>
        <w:rPr>
          <w:rFonts w:ascii="宋体" w:hAnsi="宋体"/>
          <w:b/>
          <w:bCs/>
          <w:color w:val="auto"/>
          <w:sz w:val="30"/>
          <w:szCs w:val="30"/>
          <w:highlight w:val="none"/>
        </w:rPr>
      </w:pPr>
      <w:r>
        <w:rPr>
          <w:rFonts w:hint="eastAsia" w:ascii="宋体" w:hAnsi="宋体"/>
          <w:b/>
          <w:bCs/>
          <w:color w:val="auto"/>
          <w:sz w:val="30"/>
          <w:szCs w:val="30"/>
          <w:highlight w:val="none"/>
          <w:lang w:val="zh-CN"/>
        </w:rPr>
        <w:t>项目名称：</w:t>
      </w:r>
      <w:r>
        <w:rPr>
          <w:rFonts w:hint="eastAsia" w:ascii="宋体" w:hAnsi="宋体"/>
          <w:b/>
          <w:bCs/>
          <w:color w:val="auto"/>
          <w:sz w:val="30"/>
          <w:szCs w:val="30"/>
          <w:highlight w:val="none"/>
        </w:rPr>
        <w:t>福建农林大学梯度PCR仪等设备采购项目</w:t>
      </w:r>
    </w:p>
    <w:p>
      <w:pPr>
        <w:pStyle w:val="15"/>
        <w:spacing w:after="0" w:line="800" w:lineRule="exact"/>
        <w:ind w:left="1050" w:leftChars="500" w:firstLine="0"/>
        <w:rPr>
          <w:rFonts w:ascii="宋体" w:hAnsi="宋体"/>
          <w:b/>
          <w:bCs/>
          <w:color w:val="auto"/>
          <w:sz w:val="30"/>
          <w:szCs w:val="30"/>
          <w:highlight w:val="none"/>
        </w:rPr>
      </w:pPr>
      <w:r>
        <w:rPr>
          <w:rFonts w:hint="eastAsia" w:ascii="宋体" w:hAnsi="宋体"/>
          <w:b/>
          <w:bCs/>
          <w:color w:val="auto"/>
          <w:sz w:val="30"/>
          <w:szCs w:val="30"/>
          <w:highlight w:val="none"/>
        </w:rPr>
        <w:t>采购人：福建农林大学</w:t>
      </w:r>
    </w:p>
    <w:p>
      <w:pPr>
        <w:pStyle w:val="15"/>
        <w:ind w:left="0" w:leftChars="0" w:firstLine="0"/>
        <w:jc w:val="center"/>
        <w:rPr>
          <w:rFonts w:ascii="宋体" w:hAnsi="宋体"/>
          <w:b/>
          <w:bCs/>
          <w:color w:val="auto"/>
          <w:sz w:val="36"/>
          <w:szCs w:val="36"/>
          <w:highlight w:val="none"/>
        </w:rPr>
      </w:pPr>
    </w:p>
    <w:p>
      <w:pPr>
        <w:pStyle w:val="15"/>
        <w:ind w:left="0" w:leftChars="0" w:firstLine="0"/>
        <w:jc w:val="center"/>
        <w:rPr>
          <w:rFonts w:ascii="宋体" w:hAnsi="宋体"/>
          <w:b/>
          <w:bCs/>
          <w:color w:val="auto"/>
          <w:sz w:val="36"/>
          <w:szCs w:val="36"/>
          <w:highlight w:val="none"/>
        </w:rPr>
      </w:pPr>
    </w:p>
    <w:p>
      <w:pPr>
        <w:wordWrap w:val="0"/>
        <w:spacing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福建省宏瑞招标代理有限公司</w:t>
      </w:r>
    </w:p>
    <w:p>
      <w:pPr>
        <w:wordWrap w:val="0"/>
        <w:spacing w:line="360" w:lineRule="auto"/>
        <w:jc w:val="center"/>
        <w:rPr>
          <w:rFonts w:ascii="宋体" w:hAnsi="宋体"/>
          <w:b/>
          <w:bCs/>
          <w:color w:val="auto"/>
          <w:sz w:val="30"/>
          <w:szCs w:val="30"/>
          <w:highlight w:val="none"/>
        </w:rPr>
      </w:pPr>
    </w:p>
    <w:p>
      <w:pPr>
        <w:jc w:val="center"/>
        <w:rPr>
          <w:rFonts w:ascii="宋体" w:hAnsi="宋体"/>
          <w:b/>
          <w:bCs/>
          <w:color w:val="auto"/>
          <w:sz w:val="30"/>
          <w:szCs w:val="30"/>
          <w:highlight w:val="none"/>
        </w:rPr>
      </w:pPr>
      <w:r>
        <w:rPr>
          <w:rFonts w:hint="eastAsia" w:ascii="宋体" w:hAnsi="宋体"/>
          <w:b/>
          <w:bCs/>
          <w:color w:val="auto"/>
          <w:sz w:val="30"/>
          <w:szCs w:val="30"/>
          <w:highlight w:val="none"/>
        </w:rPr>
        <w:t>二○二二年</w:t>
      </w:r>
      <w:r>
        <w:rPr>
          <w:rFonts w:hint="eastAsia" w:ascii="宋体" w:hAnsi="宋体"/>
          <w:b/>
          <w:bCs/>
          <w:color w:val="auto"/>
          <w:sz w:val="30"/>
          <w:szCs w:val="30"/>
          <w:highlight w:val="none"/>
          <w:lang w:eastAsia="zh-CN"/>
        </w:rPr>
        <w:t>七</w:t>
      </w:r>
      <w:r>
        <w:rPr>
          <w:rFonts w:hint="eastAsia" w:ascii="宋体" w:hAnsi="宋体"/>
          <w:b/>
          <w:bCs/>
          <w:color w:val="auto"/>
          <w:sz w:val="30"/>
          <w:szCs w:val="30"/>
          <w:highlight w:val="none"/>
        </w:rPr>
        <w:t>月</w:t>
      </w: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700" w:lineRule="exact"/>
        <w:ind w:firstLine="643" w:firstLineChars="200"/>
        <w:jc w:val="center"/>
        <w:rPr>
          <w:rFonts w:ascii="宋体" w:hAnsi="宋体" w:cs="宋体"/>
          <w:b/>
          <w:bCs/>
          <w:color w:val="auto"/>
          <w:kern w:val="0"/>
          <w:sz w:val="32"/>
          <w:szCs w:val="32"/>
          <w:highlight w:val="none"/>
        </w:rPr>
      </w:pPr>
    </w:p>
    <w:sdt>
      <w:sdtPr>
        <w:rPr>
          <w:rFonts w:ascii="宋体" w:hAnsi="宋体"/>
          <w:color w:val="auto"/>
          <w:highlight w:val="none"/>
        </w:rPr>
        <w:id w:val="147454079"/>
        <w15:color w:val="DBDBDB"/>
        <w:docPartObj>
          <w:docPartGallery w:val="Table of Contents"/>
          <w:docPartUnique/>
        </w:docPartObj>
      </w:sdtPr>
      <w:sdtEndPr>
        <w:rPr>
          <w:rFonts w:hint="eastAsia" w:ascii="宋体" w:hAnsi="宋体" w:cs="宋体"/>
          <w:bCs/>
          <w:color w:val="auto"/>
          <w:kern w:val="0"/>
          <w:szCs w:val="32"/>
          <w:highlight w:val="none"/>
        </w:rPr>
      </w:sdtEndPr>
      <w:sdtContent>
        <w:p>
          <w:pPr>
            <w:spacing w:line="7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目录</w:t>
          </w:r>
        </w:p>
        <w:p>
          <w:pPr>
            <w:pStyle w:val="13"/>
            <w:tabs>
              <w:tab w:val="right" w:leader="dot" w:pos="9723"/>
            </w:tabs>
            <w:spacing w:line="700" w:lineRule="exact"/>
            <w:rPr>
              <w:rFonts w:ascii="宋体" w:hAnsi="宋体" w:cs="宋体"/>
              <w:color w:val="auto"/>
              <w:sz w:val="28"/>
              <w:szCs w:val="28"/>
              <w:highlight w:val="none"/>
            </w:rPr>
          </w:pPr>
          <w:r>
            <w:rPr>
              <w:rFonts w:hint="eastAsia" w:ascii="宋体" w:hAnsi="宋体" w:cs="宋体"/>
              <w:b/>
              <w:bCs/>
              <w:color w:val="auto"/>
              <w:kern w:val="0"/>
              <w:sz w:val="28"/>
              <w:szCs w:val="28"/>
              <w:highlight w:val="none"/>
            </w:rPr>
            <w:fldChar w:fldCharType="begin"/>
          </w:r>
          <w:r>
            <w:rPr>
              <w:rFonts w:hint="eastAsia" w:ascii="宋体" w:hAnsi="宋体" w:cs="宋体"/>
              <w:b/>
              <w:bCs/>
              <w:color w:val="auto"/>
              <w:kern w:val="0"/>
              <w:sz w:val="28"/>
              <w:szCs w:val="28"/>
              <w:highlight w:val="none"/>
            </w:rPr>
            <w:instrText xml:space="preserve">TOC \o "1-1" \h \u </w:instrText>
          </w:r>
          <w:r>
            <w:rPr>
              <w:rFonts w:hint="eastAsia" w:ascii="宋体" w:hAnsi="宋体" w:cs="宋体"/>
              <w:b/>
              <w:bCs/>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"_Toc18236" </w:instrText>
          </w:r>
          <w:r>
            <w:rPr>
              <w:color w:val="auto"/>
              <w:highlight w:val="none"/>
            </w:rPr>
            <w:fldChar w:fldCharType="separate"/>
          </w:r>
          <w:r>
            <w:rPr>
              <w:rFonts w:hint="eastAsia" w:ascii="宋体" w:hAnsi="宋体" w:cs="宋体"/>
              <w:bCs/>
              <w:color w:val="auto"/>
              <w:kern w:val="0"/>
              <w:sz w:val="28"/>
              <w:szCs w:val="28"/>
              <w:highlight w:val="none"/>
            </w:rPr>
            <w:t>第一章 竞价须知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_Toc18236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3"/>
            <w:tabs>
              <w:tab w:val="right" w:leader="dot" w:pos="9723"/>
            </w:tabs>
            <w:spacing w:line="7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"_Toc22138" </w:instrText>
          </w:r>
          <w:r>
            <w:rPr>
              <w:color w:val="auto"/>
              <w:highlight w:val="none"/>
            </w:rPr>
            <w:fldChar w:fldCharType="separate"/>
          </w:r>
          <w:r>
            <w:rPr>
              <w:rFonts w:hint="eastAsia" w:ascii="宋体" w:hAnsi="宋体" w:cs="宋体"/>
              <w:color w:val="auto"/>
              <w:kern w:val="0"/>
              <w:sz w:val="28"/>
              <w:szCs w:val="28"/>
              <w:highlight w:val="none"/>
            </w:rPr>
            <w:t>第二章 网上竞价内容及要求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_Toc22138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3"/>
            <w:tabs>
              <w:tab w:val="right" w:leader="dot" w:pos="9723"/>
            </w:tabs>
            <w:spacing w:line="7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"_Toc20788" </w:instrText>
          </w:r>
          <w:r>
            <w:rPr>
              <w:color w:val="auto"/>
              <w:highlight w:val="none"/>
            </w:rPr>
            <w:fldChar w:fldCharType="separate"/>
          </w:r>
          <w:r>
            <w:rPr>
              <w:rFonts w:hint="eastAsia" w:ascii="宋体" w:hAnsi="宋体" w:cs="宋体"/>
              <w:color w:val="auto"/>
              <w:sz w:val="28"/>
              <w:szCs w:val="28"/>
              <w:highlight w:val="none"/>
            </w:rPr>
            <w:t>第三章 福建农林大学网上竞价采购合同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_Toc20788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3"/>
            <w:tabs>
              <w:tab w:val="right" w:leader="dot" w:pos="9723"/>
            </w:tabs>
            <w:spacing w:line="7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"_Toc26969" </w:instrText>
          </w:r>
          <w:r>
            <w:rPr>
              <w:color w:val="auto"/>
              <w:highlight w:val="none"/>
            </w:rPr>
            <w:fldChar w:fldCharType="separate"/>
          </w:r>
          <w:r>
            <w:rPr>
              <w:rFonts w:hint="eastAsia" w:ascii="宋体" w:hAnsi="宋体" w:cs="宋体"/>
              <w:bCs/>
              <w:color w:val="auto"/>
              <w:sz w:val="28"/>
              <w:szCs w:val="28"/>
              <w:highlight w:val="none"/>
            </w:rPr>
            <w:t>第四章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_Toc26969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3"/>
            <w:tabs>
              <w:tab w:val="right" w:leader="dot" w:pos="9723"/>
            </w:tabs>
            <w:spacing w:line="7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"_Toc25184" </w:instrText>
          </w:r>
          <w:r>
            <w:rPr>
              <w:color w:val="auto"/>
              <w:highlight w:val="none"/>
            </w:rPr>
            <w:fldChar w:fldCharType="separate"/>
          </w:r>
          <w:r>
            <w:rPr>
              <w:rFonts w:hint="eastAsia" w:ascii="宋体" w:hAnsi="宋体" w:cs="宋体"/>
              <w:bCs/>
              <w:color w:val="auto"/>
              <w:sz w:val="28"/>
              <w:szCs w:val="28"/>
              <w:highlight w:val="none"/>
            </w:rPr>
            <w:t>第五章  报价文件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_Toc25184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widowControl/>
            <w:spacing w:line="700" w:lineRule="exact"/>
            <w:ind w:firstLine="560" w:firstLineChars="200"/>
            <w:jc w:val="center"/>
            <w:rPr>
              <w:rFonts w:ascii="宋体" w:hAnsi="宋体" w:cs="宋体"/>
              <w:b/>
              <w:bCs/>
              <w:color w:val="auto"/>
              <w:kern w:val="0"/>
              <w:sz w:val="32"/>
              <w:szCs w:val="32"/>
              <w:highlight w:val="none"/>
            </w:rPr>
          </w:pPr>
          <w:r>
            <w:rPr>
              <w:rFonts w:hint="eastAsia" w:ascii="宋体" w:hAnsi="宋体" w:cs="宋体"/>
              <w:bCs/>
              <w:color w:val="auto"/>
              <w:kern w:val="0"/>
              <w:sz w:val="28"/>
              <w:szCs w:val="28"/>
              <w:highlight w:val="none"/>
            </w:rPr>
            <w:fldChar w:fldCharType="end"/>
          </w:r>
        </w:p>
      </w:sdtContent>
    </w:sdt>
    <w:p>
      <w:pPr>
        <w:widowControl/>
        <w:spacing w:line="70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outlineLvl w:val="0"/>
        <w:rPr>
          <w:rFonts w:ascii="宋体" w:hAnsi="宋体" w:cs="宋体"/>
          <w:b/>
          <w:bCs/>
          <w:color w:val="auto"/>
          <w:kern w:val="0"/>
          <w:sz w:val="32"/>
          <w:szCs w:val="32"/>
          <w:highlight w:val="none"/>
        </w:rPr>
      </w:pPr>
      <w:bookmarkStart w:id="0" w:name="_Toc8329"/>
      <w:bookmarkStart w:id="1" w:name="_Toc18236"/>
      <w:r>
        <w:rPr>
          <w:rFonts w:hint="eastAsia" w:ascii="宋体" w:hAnsi="宋体" w:cs="宋体"/>
          <w:b/>
          <w:bCs/>
          <w:color w:val="auto"/>
          <w:kern w:val="0"/>
          <w:sz w:val="32"/>
          <w:szCs w:val="32"/>
          <w:highlight w:val="none"/>
        </w:rPr>
        <w:t>第一章 竞价须知</w:t>
      </w:r>
      <w:bookmarkEnd w:id="0"/>
      <w:bookmarkEnd w:id="1"/>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福建省宏瑞招标代理有限公司受</w:t>
      </w:r>
      <w:r>
        <w:rPr>
          <w:rFonts w:hint="eastAsia" w:ascii="宋体" w:hAnsi="宋体" w:cs="宋体"/>
          <w:bCs/>
          <w:color w:val="auto"/>
          <w:kern w:val="0"/>
          <w:sz w:val="24"/>
          <w:highlight w:val="none"/>
          <w:u w:val="single"/>
        </w:rPr>
        <w:t>福建农林大学</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委托对</w:t>
      </w:r>
      <w:r>
        <w:rPr>
          <w:rFonts w:hint="eastAsia" w:ascii="宋体" w:hAnsi="宋体"/>
          <w:color w:val="auto"/>
          <w:sz w:val="24"/>
          <w:highlight w:val="none"/>
        </w:rPr>
        <w:t>福建农林大学梯度PCR仪等设备采购项目</w:t>
      </w:r>
      <w:r>
        <w:rPr>
          <w:rFonts w:hint="eastAsia" w:ascii="宋体" w:hAnsi="宋体" w:cs="宋体"/>
          <w:color w:val="auto"/>
          <w:kern w:val="0"/>
          <w:sz w:val="24"/>
          <w:highlight w:val="none"/>
        </w:rPr>
        <w:t>进行网上竞价。</w:t>
      </w:r>
    </w:p>
    <w:p>
      <w:pPr>
        <w:widowControl/>
        <w:spacing w:line="46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1．项目编号：FJHR-2022-W065</w:t>
      </w:r>
    </w:p>
    <w:p>
      <w:pPr>
        <w:widowControl/>
        <w:spacing w:line="46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2．项目名称:</w:t>
      </w:r>
      <w:r>
        <w:rPr>
          <w:rFonts w:hint="eastAsia" w:ascii="宋体" w:hAnsi="宋体"/>
          <w:color w:val="auto"/>
          <w:sz w:val="24"/>
          <w:highlight w:val="none"/>
        </w:rPr>
        <w:t>福建农林大学梯度PCR仪等设备采购项目</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bCs/>
          <w:color w:val="auto"/>
          <w:sz w:val="24"/>
          <w:highlight w:val="none"/>
        </w:rPr>
        <w:t>3．竞价采购货物（服务）名称、数量及主要技术规格售后服务要求等详见“第二章 网上竞价内容及要求”</w:t>
      </w:r>
      <w:r>
        <w:rPr>
          <w:rFonts w:hint="eastAsia" w:ascii="宋体" w:hAnsi="宋体" w:cs="宋体"/>
          <w:color w:val="auto"/>
          <w:kern w:val="0"/>
          <w:sz w:val="24"/>
          <w:highlight w:val="none"/>
        </w:rPr>
        <w:t>。</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4．报名及竞价时间：</w:t>
      </w:r>
    </w:p>
    <w:p>
      <w:pPr>
        <w:widowControl/>
        <w:spacing w:line="460" w:lineRule="exact"/>
        <w:ind w:firstLine="480" w:firstLineChars="200"/>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报名起始时间：2022年</w:t>
      </w:r>
      <w:r>
        <w:rPr>
          <w:rFonts w:hint="eastAsia" w:ascii="宋体" w:hAnsi="宋体" w:cs="宋体"/>
          <w:color w:val="auto"/>
          <w:kern w:val="0"/>
          <w:sz w:val="24"/>
          <w:highlight w:val="none"/>
          <w:lang w:val="en-US" w:eastAsia="zh-CN"/>
        </w:rPr>
        <w:t xml:space="preserve"> 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p>
    <w:p>
      <w:pPr>
        <w:widowControl/>
        <w:spacing w:line="460" w:lineRule="exact"/>
        <w:ind w:firstLine="480" w:firstLineChars="200"/>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报名截止时间：2022年</w:t>
      </w:r>
      <w:r>
        <w:rPr>
          <w:rFonts w:hint="eastAsia" w:ascii="宋体" w:hAnsi="宋体" w:cs="宋体"/>
          <w:color w:val="auto"/>
          <w:kern w:val="0"/>
          <w:sz w:val="24"/>
          <w:highlight w:val="none"/>
          <w:lang w:val="en-US" w:eastAsia="zh-CN"/>
        </w:rPr>
        <w:t xml:space="preserve"> 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p>
    <w:p>
      <w:pPr>
        <w:widowControl/>
        <w:spacing w:line="460" w:lineRule="exact"/>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竞价起始时间：2022年</w:t>
      </w:r>
      <w:r>
        <w:rPr>
          <w:rFonts w:hint="eastAsia" w:ascii="宋体" w:hAnsi="宋体" w:cs="宋体"/>
          <w:color w:val="auto"/>
          <w:kern w:val="0"/>
          <w:sz w:val="24"/>
          <w:highlight w:val="none"/>
          <w:lang w:val="en-US" w:eastAsia="zh-CN"/>
        </w:rPr>
        <w:t xml:space="preserve"> 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 15</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p>
    <w:p>
      <w:pPr>
        <w:widowControl/>
        <w:spacing w:line="460" w:lineRule="exact"/>
        <w:ind w:firstLine="480" w:firstLineChars="200"/>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竞价截止时间：2022年</w:t>
      </w:r>
      <w:r>
        <w:rPr>
          <w:rFonts w:hint="eastAsia" w:ascii="宋体" w:hAnsi="宋体" w:cs="宋体"/>
          <w:color w:val="auto"/>
          <w:kern w:val="0"/>
          <w:sz w:val="24"/>
          <w:highlight w:val="none"/>
          <w:lang w:val="en-US" w:eastAsia="zh-CN"/>
        </w:rPr>
        <w:t xml:space="preserve"> 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 15</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olor w:val="auto"/>
          <w:sz w:val="24"/>
          <w:highlight w:val="none"/>
        </w:rPr>
        <w:t>本项目须有2家(含2家)以上合格的竞价人参与竞价，</w:t>
      </w:r>
      <w:r>
        <w:rPr>
          <w:rFonts w:hint="eastAsia" w:ascii="宋体" w:hAnsi="宋体" w:cs="宋体"/>
          <w:color w:val="auto"/>
          <w:kern w:val="0"/>
          <w:sz w:val="24"/>
          <w:highlight w:val="none"/>
        </w:rPr>
        <w:t>否则本次网上竞价无效。</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6.本项目不接受联合体竞价，成交后，成交人不得转包、分包。</w:t>
      </w:r>
    </w:p>
    <w:p>
      <w:pPr>
        <w:widowControl/>
        <w:spacing w:line="460" w:lineRule="exact"/>
        <w:ind w:firstLine="480" w:firstLineChars="200"/>
        <w:jc w:val="left"/>
        <w:rPr>
          <w:rFonts w:ascii="宋体" w:hAnsi="宋体"/>
          <w:bCs/>
          <w:color w:val="auto"/>
          <w:sz w:val="24"/>
          <w:highlight w:val="none"/>
        </w:rPr>
      </w:pPr>
      <w:r>
        <w:rPr>
          <w:rFonts w:hint="eastAsia" w:ascii="宋体" w:hAnsi="宋体" w:cs="宋体"/>
          <w:color w:val="auto"/>
          <w:kern w:val="0"/>
          <w:sz w:val="24"/>
          <w:highlight w:val="none"/>
        </w:rPr>
        <w:t>7．</w:t>
      </w:r>
      <w:r>
        <w:rPr>
          <w:rFonts w:hint="eastAsia" w:ascii="宋体" w:hAnsi="宋体"/>
          <w:bCs/>
          <w:color w:val="auto"/>
          <w:sz w:val="24"/>
          <w:highlight w:val="none"/>
        </w:rPr>
        <w:t>联系方式</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采购人：福建农林大学</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地址：福建省福州市仓山区上下店路15号</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联系人及电话</w:t>
      </w:r>
      <w:r>
        <w:rPr>
          <w:rFonts w:hint="eastAsia" w:ascii="宋体" w:hAnsi="宋体" w:cs="宋体"/>
          <w:color w:val="auto"/>
          <w:sz w:val="24"/>
          <w:highlight w:val="none"/>
        </w:rPr>
        <w:t>：</w:t>
      </w:r>
      <w:r>
        <w:rPr>
          <w:rFonts w:hint="eastAsia" w:ascii="宋体" w:hAnsi="宋体" w:cs="宋体"/>
          <w:color w:val="auto"/>
          <w:sz w:val="24"/>
          <w:highlight w:val="none"/>
          <w:lang w:eastAsia="zh-CN"/>
        </w:rPr>
        <w:t>张老师</w:t>
      </w:r>
      <w:r>
        <w:rPr>
          <w:rFonts w:ascii="宋体" w:hAnsi="宋体" w:eastAsia="宋体" w:cs="宋体"/>
          <w:sz w:val="24"/>
          <w:szCs w:val="24"/>
        </w:rPr>
        <w:t>15860821819</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采购代理机构：福建省宏瑞招标代理有限公司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地  址：福州市鼓楼区西洪路518号恩特楼A-402/403</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邮  编：350001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电  话：0591-83701177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项目负责人：吴娟娟、薛方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公司网址：http://www.fjhongrui.com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电子信箱：fjhrzb@126.com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pStyle w:val="2"/>
        <w:spacing w:beforeAutospacing="0" w:afterAutospacing="0" w:line="460" w:lineRule="exact"/>
        <w:ind w:firstLine="480" w:firstLineChars="200"/>
        <w:rPr>
          <w:color w:val="auto"/>
          <w:highlight w:val="none"/>
        </w:rPr>
      </w:pPr>
      <w:r>
        <w:rPr>
          <w:rFonts w:hint="eastAsia"/>
          <w:b w:val="0"/>
          <w:color w:val="auto"/>
          <w:kern w:val="2"/>
          <w:sz w:val="24"/>
          <w:szCs w:val="24"/>
          <w:highlight w:val="none"/>
        </w:rPr>
        <w:t>（1）中国政府采购网，网址www.ccgp.gov.cn、</w:t>
      </w:r>
    </w:p>
    <w:p>
      <w:pPr>
        <w:pStyle w:val="2"/>
        <w:spacing w:beforeAutospacing="0" w:afterAutospacing="0" w:line="460" w:lineRule="exact"/>
        <w:ind w:firstLine="480" w:firstLineChars="200"/>
        <w:rPr>
          <w:b w:val="0"/>
          <w:color w:val="auto"/>
          <w:kern w:val="2"/>
          <w:sz w:val="24"/>
          <w:szCs w:val="24"/>
          <w:highlight w:val="none"/>
        </w:rPr>
      </w:pPr>
      <w:r>
        <w:rPr>
          <w:rFonts w:hint="eastAsia"/>
          <w:b w:val="0"/>
          <w:color w:val="auto"/>
          <w:kern w:val="2"/>
          <w:sz w:val="24"/>
          <w:szCs w:val="24"/>
          <w:highlight w:val="none"/>
        </w:rPr>
        <w:t>（2）福建省宏瑞招标代理有限公司(http://www.fjhongrui.com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9.竞价人资格要求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（1）凡在中国境内注册具有法人资格，有能力提供本竞价文件所述</w:t>
      </w:r>
      <w:r>
        <w:rPr>
          <w:rFonts w:hint="eastAsia" w:ascii="宋体" w:hAnsi="宋体"/>
          <w:bCs/>
          <w:color w:val="auto"/>
          <w:sz w:val="24"/>
          <w:highlight w:val="none"/>
        </w:rPr>
        <w:t>货物（服务）</w:t>
      </w:r>
      <w:r>
        <w:rPr>
          <w:rFonts w:hint="eastAsia" w:ascii="宋体" w:hAnsi="宋体"/>
          <w:color w:val="auto"/>
          <w:sz w:val="24"/>
          <w:highlight w:val="none"/>
        </w:rPr>
        <w:t>的企业均可能成为合格的竞价人，须提供法人营业执照副本和税务登记证副本等复印件，或三证合一的营业执照复印件并加盖竞价人公章。</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单位负责人授权书。</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（3）竞价人</w:t>
      </w:r>
      <w:r>
        <w:rPr>
          <w:rFonts w:hint="eastAsia" w:ascii="宋体" w:hAnsi="宋体" w:cs="宋体"/>
          <w:color w:val="auto"/>
          <w:sz w:val="24"/>
          <w:highlight w:val="none"/>
        </w:rPr>
        <w:t>的资格声明。</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竞价承诺书。</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须提供参加采购活动前3年内在经营活动中没有行贿犯罪的承诺函。</w:t>
      </w:r>
    </w:p>
    <w:p>
      <w:pPr>
        <w:widowControl/>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（6）竞价人须完全响应第二章 “网上竞价内容及要求”中“二、技术参数及商务条款”所有要求，并提供承诺函，若有要求提交相关证明材料的，则须按规定提交。</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（7）竞价人需提供网上竞价文件中其他规定的证明材料。</w:t>
      </w:r>
    </w:p>
    <w:p>
      <w:pPr>
        <w:widowControl/>
        <w:spacing w:line="460" w:lineRule="exact"/>
        <w:ind w:firstLine="482" w:firstLineChars="200"/>
        <w:jc w:val="left"/>
        <w:textAlignment w:val="baseline"/>
        <w:rPr>
          <w:rStyle w:val="21"/>
          <w:color w:val="auto"/>
          <w:highlight w:val="none"/>
        </w:rPr>
      </w:pPr>
      <w:r>
        <w:rPr>
          <w:rStyle w:val="21"/>
          <w:rFonts w:ascii="宋体" w:hAnsi="宋体" w:cs="宋体"/>
          <w:b/>
          <w:bCs/>
          <w:color w:val="auto"/>
          <w:sz w:val="24"/>
          <w:highlight w:val="none"/>
        </w:rPr>
        <w:t>注：</w:t>
      </w:r>
      <w:r>
        <w:rPr>
          <w:rStyle w:val="21"/>
          <w:rFonts w:hint="eastAsia" w:ascii="宋体" w:hAnsi="宋体" w:cs="宋体"/>
          <w:b/>
          <w:bCs/>
          <w:color w:val="auto"/>
          <w:sz w:val="24"/>
          <w:highlight w:val="none"/>
        </w:rPr>
        <w:t>①</w:t>
      </w:r>
      <w:r>
        <w:rPr>
          <w:rStyle w:val="21"/>
          <w:rFonts w:ascii="宋体" w:hAnsi="宋体" w:cs="宋体"/>
          <w:b/>
          <w:bCs/>
          <w:color w:val="auto"/>
          <w:sz w:val="24"/>
          <w:highlight w:val="none"/>
        </w:rPr>
        <w:t>以上材料均须加盖</w:t>
      </w:r>
      <w:r>
        <w:rPr>
          <w:rStyle w:val="21"/>
          <w:rFonts w:hint="eastAsia" w:ascii="宋体" w:hAnsi="宋体" w:cs="宋体"/>
          <w:b/>
          <w:bCs/>
          <w:color w:val="auto"/>
          <w:sz w:val="24"/>
          <w:highlight w:val="none"/>
        </w:rPr>
        <w:t>竞价人</w:t>
      </w:r>
      <w:r>
        <w:rPr>
          <w:rStyle w:val="21"/>
          <w:rFonts w:ascii="宋体" w:hAnsi="宋体" w:cs="宋体"/>
          <w:b/>
          <w:bCs/>
          <w:color w:val="auto"/>
          <w:sz w:val="24"/>
          <w:highlight w:val="none"/>
        </w:rPr>
        <w:t>单位公章</w:t>
      </w:r>
      <w:r>
        <w:rPr>
          <w:rStyle w:val="21"/>
          <w:rFonts w:hint="eastAsia" w:ascii="宋体" w:hAnsi="宋体" w:cs="宋体"/>
          <w:b/>
          <w:bCs/>
          <w:color w:val="auto"/>
          <w:sz w:val="24"/>
          <w:highlight w:val="none"/>
        </w:rPr>
        <w:t>。</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10.报名须知</w:t>
      </w:r>
    </w:p>
    <w:p>
      <w:pPr>
        <w:spacing w:line="46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（1）</w:t>
      </w:r>
      <w:r>
        <w:rPr>
          <w:rFonts w:hint="eastAsia" w:ascii="宋体" w:hAnsi="宋体" w:cs="宋体"/>
          <w:color w:val="auto"/>
          <w:kern w:val="0"/>
          <w:sz w:val="24"/>
          <w:highlight w:val="none"/>
        </w:rPr>
        <w:t>福建省宏瑞招标代理有限公司将在中国政府采购网，网址www.ccgp.gov.cn、福建省宏瑞招标代理有限公司网站（http://www.fjhongrui.com）上发布竞价公告，公告时间为3个工作日。</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kern w:val="0"/>
          <w:sz w:val="24"/>
          <w:highlight w:val="none"/>
        </w:rPr>
        <w:t>竞价人对每个项目合同包报价时都必须扫描上传有效的报价文件并加盖公章，未按要求扫描上传报价文件的竞价无效。电子报价文档具有法律效力。</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（3）本项目代理服务费按成交金额的1.5%，由成交人支付。</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11.报名时间及方式</w:t>
      </w:r>
    </w:p>
    <w:p>
      <w:pPr>
        <w:widowControl/>
        <w:shd w:val="clear" w:color="auto" w:fill="FFFFFF"/>
        <w:spacing w:line="460" w:lineRule="exact"/>
        <w:ind w:firstLine="480" w:firstLineChars="200"/>
        <w:jc w:val="left"/>
        <w:rPr>
          <w:rStyle w:val="21"/>
          <w:rFonts w:ascii="宋体" w:hAnsi="宋体" w:cs="宋体"/>
          <w:color w:val="auto"/>
          <w:sz w:val="24"/>
          <w:highlight w:val="none"/>
        </w:rPr>
      </w:pPr>
      <w:r>
        <w:rPr>
          <w:rFonts w:hint="eastAsia" w:ascii="宋体" w:hAnsi="宋体"/>
          <w:color w:val="auto"/>
          <w:sz w:val="24"/>
          <w:highlight w:val="none"/>
        </w:rPr>
        <w:t>（1）潜在竞价人须于</w:t>
      </w:r>
      <w:r>
        <w:rPr>
          <w:rFonts w:hint="eastAsia" w:ascii="宋体" w:hAnsi="宋体"/>
          <w:color w:val="auto"/>
          <w:sz w:val="24"/>
          <w:highlight w:val="none"/>
          <w:lang w:val="en-US" w:eastAsia="zh-CN"/>
        </w:rPr>
        <w:t>竞价须知中规定的报名时间内</w:t>
      </w:r>
      <w:r>
        <w:rPr>
          <w:rFonts w:hint="eastAsia" w:ascii="宋体" w:hAnsi="宋体"/>
          <w:color w:val="auto"/>
          <w:sz w:val="24"/>
          <w:highlight w:val="none"/>
        </w:rPr>
        <w:t>在福建省宏瑞招标代理有限公司网站竞价平台（http://bid.fjhongrui.com）办理注册，通过审核后办理报名登记，</w:t>
      </w:r>
      <w:r>
        <w:rPr>
          <w:rStyle w:val="21"/>
          <w:rFonts w:hint="eastAsia" w:ascii="宋体" w:hAnsi="宋体" w:cs="宋体"/>
          <w:color w:val="auto"/>
          <w:sz w:val="24"/>
          <w:highlight w:val="none"/>
        </w:rPr>
        <w:t>按本竞价文件“第三章 响应文件格式”制作合格的响应文件，并</w:t>
      </w:r>
      <w:r>
        <w:rPr>
          <w:rStyle w:val="21"/>
          <w:rFonts w:ascii="宋体" w:hAnsi="宋体" w:cs="宋体"/>
          <w:color w:val="auto"/>
          <w:sz w:val="24"/>
          <w:highlight w:val="none"/>
        </w:rPr>
        <w:t>在</w:t>
      </w:r>
      <w:r>
        <w:rPr>
          <w:rStyle w:val="21"/>
          <w:rFonts w:hint="eastAsia" w:ascii="宋体" w:hAnsi="宋体" w:cs="宋体"/>
          <w:color w:val="auto"/>
          <w:sz w:val="24"/>
          <w:highlight w:val="none"/>
        </w:rPr>
        <w:t>竞价平台上</w:t>
      </w:r>
      <w:r>
        <w:rPr>
          <w:rStyle w:val="21"/>
          <w:rFonts w:ascii="宋体" w:hAnsi="宋体" w:cs="宋体"/>
          <w:color w:val="auto"/>
          <w:kern w:val="0"/>
          <w:sz w:val="24"/>
          <w:highlight w:val="none"/>
        </w:rPr>
        <w:t>扫描上传</w:t>
      </w:r>
      <w:r>
        <w:rPr>
          <w:rStyle w:val="21"/>
          <w:rFonts w:hint="eastAsia" w:ascii="宋体" w:hAnsi="宋体" w:cs="宋体"/>
          <w:color w:val="auto"/>
          <w:sz w:val="24"/>
          <w:highlight w:val="none"/>
        </w:rPr>
        <w:t>。</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报名网址：</w:t>
      </w:r>
      <w:r>
        <w:rPr>
          <w:rFonts w:hint="eastAsia" w:ascii="宋体" w:hAnsi="宋体"/>
          <w:color w:val="auto"/>
          <w:sz w:val="24"/>
          <w:highlight w:val="none"/>
        </w:rPr>
        <w:t>福建省宏瑞招标代理有限公司网站竞价平台（http://bid.fjhongrui.com）</w:t>
      </w:r>
      <w:r>
        <w:rPr>
          <w:rFonts w:hint="eastAsia" w:ascii="宋体" w:hAnsi="宋体" w:cs="宋体"/>
          <w:color w:val="auto"/>
          <w:sz w:val="24"/>
          <w:highlight w:val="none"/>
        </w:rPr>
        <w:t>。</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竞价报名费及缴纳竞价保证金：网上竞价报名费0元，竞价保证金2000元人民币，（竞价保证金须在竞价截止时间前一个工作日17：30前以对公形式转账到代理机构指定账户。代理机构将以开户银行提供的竞价保证金到帐时间为依据进行确认，账户信息详见下表）。</w:t>
      </w:r>
    </w:p>
    <w:tbl>
      <w:tblPr>
        <w:tblStyle w:val="16"/>
        <w:tblW w:w="0" w:type="auto"/>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restart"/>
            <w:vAlign w:val="center"/>
          </w:tcPr>
          <w:p>
            <w:pPr>
              <w:spacing w:line="460" w:lineRule="exact"/>
              <w:rPr>
                <w:rFonts w:ascii="宋体" w:hAnsi="宋体" w:cs="宋体"/>
                <w:color w:val="auto"/>
                <w:sz w:val="24"/>
                <w:highlight w:val="none"/>
              </w:rPr>
            </w:pPr>
            <w:r>
              <w:rPr>
                <w:rFonts w:hint="eastAsia" w:ascii="宋体" w:hAnsi="宋体"/>
                <w:color w:val="auto"/>
                <w:sz w:val="24"/>
                <w:highlight w:val="none"/>
              </w:rPr>
              <w:t>保证金缴交银行帐号</w:t>
            </w: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名：福建省宏瑞招标代理有限公司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highlight w:val="none"/>
              </w:rPr>
            </w:pP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 户 行：中国建设银行股份有限公司福州市杨桥支行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highlight w:val="none"/>
              </w:rPr>
            </w:pP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号：35001877607052505105</w:t>
            </w:r>
          </w:p>
        </w:tc>
      </w:tr>
    </w:tbl>
    <w:p>
      <w:pPr>
        <w:widowControl/>
        <w:shd w:val="clear" w:color="auto" w:fill="FFFFFF"/>
        <w:spacing w:line="460" w:lineRule="exact"/>
        <w:ind w:firstLine="482" w:firstLineChars="200"/>
        <w:jc w:val="left"/>
        <w:rPr>
          <w:rFonts w:ascii="宋体" w:hAnsi="宋体"/>
          <w:color w:val="auto"/>
          <w:sz w:val="24"/>
          <w:highlight w:val="none"/>
        </w:rPr>
      </w:pPr>
      <w:r>
        <w:rPr>
          <w:rStyle w:val="21"/>
          <w:rFonts w:hint="eastAsia" w:ascii="宋体" w:hAnsi="宋体" w:cs="宋体"/>
          <w:b/>
          <w:bCs/>
          <w:color w:val="auto"/>
          <w:sz w:val="24"/>
          <w:highlight w:val="none"/>
          <w:u w:val="double"/>
        </w:rPr>
        <w:t>注：未在报名时间内完成上述（1）点中规定的注册、报名、上传合格的响应文件或未按（3）点规定提交竞价保证金的，其报名审核不通过，即不具备竞价资格</w:t>
      </w:r>
      <w:r>
        <w:rPr>
          <w:rStyle w:val="21"/>
          <w:rFonts w:ascii="宋体" w:hAnsi="宋体" w:cs="宋体"/>
          <w:b/>
          <w:bCs/>
          <w:color w:val="auto"/>
          <w:sz w:val="24"/>
          <w:highlight w:val="none"/>
          <w:u w:val="double"/>
        </w:rPr>
        <w:t>。</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（4）报名审核通过后方可参与本项目竞价。</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w:t>
      </w:r>
      <w:r>
        <w:rPr>
          <w:rStyle w:val="21"/>
          <w:rFonts w:ascii="宋体" w:hAnsi="宋体"/>
          <w:color w:val="auto"/>
          <w:kern w:val="0"/>
          <w:sz w:val="24"/>
          <w:highlight w:val="none"/>
        </w:rPr>
        <w:t>竞价规则说明</w:t>
      </w:r>
    </w:p>
    <w:p>
      <w:pPr>
        <w:widowControl/>
        <w:spacing w:line="460" w:lineRule="exact"/>
        <w:ind w:firstLine="480" w:firstLineChars="200"/>
        <w:jc w:val="left"/>
        <w:textAlignment w:val="baseline"/>
        <w:rPr>
          <w:rStyle w:val="21"/>
          <w:rFonts w:ascii="宋体" w:hAnsi="宋体"/>
          <w:color w:val="auto"/>
          <w:kern w:val="0"/>
          <w:sz w:val="24"/>
          <w:highlight w:val="none"/>
        </w:rPr>
      </w:pPr>
      <w:r>
        <w:rPr>
          <w:rFonts w:hint="eastAsia" w:ascii="宋体" w:hAnsi="宋体"/>
          <w:color w:val="auto"/>
          <w:sz w:val="24"/>
          <w:highlight w:val="none"/>
        </w:rPr>
        <w:t>（1）</w:t>
      </w:r>
      <w:r>
        <w:rPr>
          <w:rStyle w:val="21"/>
          <w:rFonts w:ascii="宋体" w:hAnsi="宋体"/>
          <w:color w:val="auto"/>
          <w:kern w:val="0"/>
          <w:sz w:val="24"/>
          <w:highlight w:val="none"/>
        </w:rPr>
        <w:t>网上竞价的报价时限为竞价起始时间</w:t>
      </w:r>
      <w:r>
        <w:rPr>
          <w:rStyle w:val="21"/>
          <w:rFonts w:hint="eastAsia" w:ascii="宋体" w:hAnsi="宋体"/>
          <w:color w:val="auto"/>
          <w:kern w:val="0"/>
          <w:sz w:val="24"/>
          <w:highlight w:val="none"/>
        </w:rPr>
        <w:t>起至竞价截止时间止</w:t>
      </w:r>
      <w:r>
        <w:rPr>
          <w:rStyle w:val="21"/>
          <w:rFonts w:ascii="宋体" w:hAnsi="宋体"/>
          <w:color w:val="auto"/>
          <w:kern w:val="0"/>
          <w:sz w:val="24"/>
          <w:highlight w:val="none"/>
        </w:rPr>
        <w:t>，在</w:t>
      </w:r>
      <w:r>
        <w:rPr>
          <w:rStyle w:val="21"/>
          <w:rFonts w:hint="eastAsia" w:ascii="宋体" w:hAnsi="宋体"/>
          <w:color w:val="auto"/>
          <w:kern w:val="0"/>
          <w:sz w:val="24"/>
          <w:highlight w:val="none"/>
        </w:rPr>
        <w:t>竞价</w:t>
      </w:r>
      <w:r>
        <w:rPr>
          <w:rStyle w:val="21"/>
          <w:rFonts w:ascii="宋体" w:hAnsi="宋体"/>
          <w:color w:val="auto"/>
          <w:kern w:val="0"/>
          <w:sz w:val="24"/>
          <w:highlight w:val="none"/>
        </w:rPr>
        <w:t>截止时间前，报名且通过审核的竞价人可通过宏瑞招标竞价平台多次参与竞价（不限报价次数，在规定时间内提交报价均可）。</w:t>
      </w:r>
    </w:p>
    <w:p>
      <w:pPr>
        <w:widowControl/>
        <w:spacing w:line="460" w:lineRule="exact"/>
        <w:ind w:firstLine="480" w:firstLineChars="200"/>
        <w:jc w:val="left"/>
        <w:textAlignment w:val="baseline"/>
        <w:rPr>
          <w:rStyle w:val="21"/>
          <w:rFonts w:ascii="宋体" w:hAnsi="宋体"/>
          <w:color w:val="auto"/>
          <w:kern w:val="0"/>
          <w:sz w:val="24"/>
          <w:highlight w:val="none"/>
        </w:rPr>
      </w:pPr>
      <w:r>
        <w:rPr>
          <w:rFonts w:hint="eastAsia" w:ascii="宋体" w:hAnsi="宋体"/>
          <w:color w:val="auto"/>
          <w:sz w:val="24"/>
          <w:highlight w:val="none"/>
        </w:rPr>
        <w:t>（2）</w:t>
      </w:r>
      <w:r>
        <w:rPr>
          <w:rStyle w:val="21"/>
          <w:rFonts w:ascii="宋体" w:hAnsi="宋体"/>
          <w:b/>
          <w:bCs/>
          <w:color w:val="auto"/>
          <w:kern w:val="0"/>
          <w:sz w:val="24"/>
          <w:highlight w:val="none"/>
          <w:u w:val="double"/>
        </w:rPr>
        <w:t>竞价人首次提交的报价须</w:t>
      </w:r>
      <w:r>
        <w:rPr>
          <w:rStyle w:val="21"/>
          <w:rFonts w:hint="eastAsia" w:ascii="宋体" w:hAnsi="宋体"/>
          <w:b/>
          <w:bCs/>
          <w:color w:val="auto"/>
          <w:kern w:val="0"/>
          <w:sz w:val="24"/>
          <w:highlight w:val="none"/>
          <w:u w:val="double"/>
        </w:rPr>
        <w:t>低于</w:t>
      </w:r>
      <w:r>
        <w:rPr>
          <w:rStyle w:val="21"/>
          <w:rFonts w:ascii="宋体" w:hAnsi="宋体"/>
          <w:b/>
          <w:bCs/>
          <w:color w:val="auto"/>
          <w:kern w:val="0"/>
          <w:sz w:val="24"/>
          <w:highlight w:val="none"/>
          <w:u w:val="double"/>
        </w:rPr>
        <w:t>本项目最高限价</w:t>
      </w:r>
      <w:r>
        <w:rPr>
          <w:rStyle w:val="21"/>
          <w:rFonts w:hint="eastAsia" w:ascii="宋体" w:hAnsi="宋体"/>
          <w:b/>
          <w:bCs/>
          <w:color w:val="auto"/>
          <w:kern w:val="0"/>
          <w:sz w:val="24"/>
          <w:highlight w:val="none"/>
          <w:u w:val="double"/>
        </w:rPr>
        <w:t>的3%（不含）以上</w:t>
      </w:r>
      <w:r>
        <w:rPr>
          <w:rStyle w:val="21"/>
          <w:rFonts w:ascii="宋体" w:hAnsi="宋体"/>
          <w:color w:val="auto"/>
          <w:kern w:val="0"/>
          <w:sz w:val="24"/>
          <w:highlight w:val="none"/>
        </w:rPr>
        <w:t>，否则</w:t>
      </w:r>
      <w:r>
        <w:rPr>
          <w:rStyle w:val="21"/>
          <w:rFonts w:ascii="宋体" w:hAnsi="宋体" w:cs="宋体"/>
          <w:b/>
          <w:bCs/>
          <w:color w:val="auto"/>
          <w:kern w:val="0"/>
          <w:sz w:val="24"/>
          <w:highlight w:val="none"/>
        </w:rPr>
        <w:t>视为无效报价</w:t>
      </w:r>
      <w:r>
        <w:rPr>
          <w:rStyle w:val="21"/>
          <w:rFonts w:ascii="宋体" w:hAnsi="宋体"/>
          <w:color w:val="auto"/>
          <w:kern w:val="0"/>
          <w:sz w:val="24"/>
          <w:highlight w:val="none"/>
        </w:rPr>
        <w:t>。在报价时限内，</w:t>
      </w:r>
      <w:r>
        <w:rPr>
          <w:rStyle w:val="21"/>
          <w:rFonts w:hint="eastAsia" w:ascii="宋体" w:hAnsi="宋体"/>
          <w:color w:val="auto"/>
          <w:kern w:val="0"/>
          <w:sz w:val="24"/>
          <w:highlight w:val="none"/>
        </w:rPr>
        <w:t>竞价人</w:t>
      </w:r>
      <w:r>
        <w:rPr>
          <w:rStyle w:val="21"/>
          <w:rFonts w:ascii="宋体" w:hAnsi="宋体"/>
          <w:color w:val="auto"/>
          <w:kern w:val="0"/>
          <w:sz w:val="24"/>
          <w:highlight w:val="none"/>
        </w:rPr>
        <w:t>多次报价的</w:t>
      </w:r>
      <w:r>
        <w:rPr>
          <w:rStyle w:val="21"/>
          <w:rFonts w:hint="eastAsia" w:ascii="宋体" w:hAnsi="宋体"/>
          <w:color w:val="auto"/>
          <w:kern w:val="0"/>
          <w:sz w:val="24"/>
          <w:highlight w:val="none"/>
        </w:rPr>
        <w:t>情况下</w:t>
      </w:r>
      <w:r>
        <w:rPr>
          <w:rStyle w:val="21"/>
          <w:rFonts w:ascii="宋体" w:hAnsi="宋体"/>
          <w:color w:val="auto"/>
          <w:kern w:val="0"/>
          <w:sz w:val="24"/>
          <w:highlight w:val="none"/>
        </w:rPr>
        <w:t>，报价金额必须小于自己上一次的报价金额，在报价时限内竞价人提交的最后一次报价作为该竞价人的最后报价。</w:t>
      </w:r>
    </w:p>
    <w:p>
      <w:pPr>
        <w:widowControl/>
        <w:spacing w:line="460" w:lineRule="exact"/>
        <w:ind w:firstLine="480" w:firstLineChars="200"/>
        <w:jc w:val="left"/>
        <w:textAlignment w:val="baseline"/>
        <w:rPr>
          <w:rStyle w:val="21"/>
          <w:rFonts w:ascii="宋体" w:hAnsi="宋体"/>
          <w:color w:val="auto"/>
          <w:kern w:val="0"/>
          <w:sz w:val="24"/>
          <w:highlight w:val="none"/>
        </w:rPr>
      </w:pPr>
      <w:r>
        <w:rPr>
          <w:rStyle w:val="21"/>
          <w:rFonts w:hint="eastAsia" w:ascii="宋体" w:hAnsi="宋体"/>
          <w:color w:val="auto"/>
          <w:kern w:val="0"/>
          <w:sz w:val="24"/>
          <w:highlight w:val="none"/>
        </w:rPr>
        <w:t>竞价人</w:t>
      </w:r>
      <w:r>
        <w:rPr>
          <w:rStyle w:val="21"/>
          <w:rFonts w:ascii="宋体" w:hAnsi="宋体"/>
          <w:color w:val="auto"/>
          <w:kern w:val="0"/>
          <w:sz w:val="24"/>
          <w:highlight w:val="none"/>
        </w:rPr>
        <w:t>在竞价平台提交的报价明显低于其他合格</w:t>
      </w:r>
      <w:r>
        <w:rPr>
          <w:rStyle w:val="21"/>
          <w:rFonts w:hint="eastAsia" w:ascii="宋体" w:hAnsi="宋体"/>
          <w:color w:val="auto"/>
          <w:kern w:val="0"/>
          <w:sz w:val="24"/>
          <w:highlight w:val="none"/>
        </w:rPr>
        <w:t>竞价人</w:t>
      </w:r>
      <w:r>
        <w:rPr>
          <w:rStyle w:val="21"/>
          <w:rFonts w:ascii="宋体" w:hAnsi="宋体"/>
          <w:color w:val="auto"/>
          <w:kern w:val="0"/>
          <w:sz w:val="24"/>
          <w:highlight w:val="none"/>
        </w:rPr>
        <w:t>的报价，有可能影响产品（服务）质量或不能诚信履约的，采购人有权要求其在半个小时内提供书面说明，必要时还应要求其一并提交有关证明材料；</w:t>
      </w:r>
      <w:r>
        <w:rPr>
          <w:rStyle w:val="21"/>
          <w:rFonts w:hint="eastAsia" w:ascii="宋体" w:hAnsi="宋体"/>
          <w:color w:val="auto"/>
          <w:kern w:val="0"/>
          <w:sz w:val="24"/>
          <w:highlight w:val="none"/>
        </w:rPr>
        <w:t>竞价人</w:t>
      </w:r>
      <w:r>
        <w:rPr>
          <w:rStyle w:val="21"/>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视为无效报价，采购人有权没收其竞价保证金。</w:t>
      </w:r>
    </w:p>
    <w:p>
      <w:pPr>
        <w:widowControl/>
        <w:spacing w:line="460" w:lineRule="exact"/>
        <w:ind w:firstLine="480" w:firstLineChars="200"/>
        <w:jc w:val="left"/>
        <w:textAlignment w:val="baseline"/>
        <w:rPr>
          <w:rStyle w:val="21"/>
          <w:rFonts w:ascii="宋体" w:hAnsi="宋体"/>
          <w:color w:val="auto"/>
          <w:kern w:val="0"/>
          <w:sz w:val="24"/>
          <w:highlight w:val="none"/>
        </w:rPr>
      </w:pPr>
      <w:r>
        <w:rPr>
          <w:rFonts w:hint="eastAsia" w:ascii="宋体" w:hAnsi="宋体"/>
          <w:color w:val="auto"/>
          <w:sz w:val="24"/>
          <w:highlight w:val="none"/>
        </w:rPr>
        <w:t>（3）本项目推荐一名成交候选人，</w:t>
      </w:r>
      <w:r>
        <w:rPr>
          <w:rStyle w:val="21"/>
          <w:rFonts w:ascii="宋体" w:hAnsi="宋体"/>
          <w:color w:val="auto"/>
          <w:kern w:val="0"/>
          <w:sz w:val="24"/>
          <w:highlight w:val="none"/>
        </w:rPr>
        <w:t>在</w:t>
      </w:r>
      <w:r>
        <w:rPr>
          <w:rStyle w:val="21"/>
          <w:rFonts w:hint="eastAsia" w:ascii="宋体" w:hAnsi="宋体"/>
          <w:color w:val="auto"/>
          <w:kern w:val="0"/>
          <w:sz w:val="24"/>
          <w:highlight w:val="none"/>
        </w:rPr>
        <w:t>完全满足</w:t>
      </w:r>
      <w:r>
        <w:rPr>
          <w:rStyle w:val="21"/>
          <w:rFonts w:ascii="宋体" w:hAnsi="宋体"/>
          <w:color w:val="auto"/>
          <w:kern w:val="0"/>
          <w:sz w:val="24"/>
          <w:highlight w:val="none"/>
        </w:rPr>
        <w:t>采购需求且报价有效的前提下，最后报价最低者</w:t>
      </w:r>
      <w:r>
        <w:rPr>
          <w:rStyle w:val="21"/>
          <w:rFonts w:hint="eastAsia" w:ascii="宋体" w:hAnsi="宋体"/>
          <w:color w:val="auto"/>
          <w:kern w:val="0"/>
          <w:sz w:val="24"/>
          <w:highlight w:val="none"/>
        </w:rPr>
        <w:t>作为</w:t>
      </w:r>
      <w:r>
        <w:rPr>
          <w:rStyle w:val="21"/>
          <w:rFonts w:ascii="宋体" w:hAnsi="宋体"/>
          <w:color w:val="auto"/>
          <w:kern w:val="0"/>
          <w:sz w:val="24"/>
          <w:highlight w:val="none"/>
        </w:rPr>
        <w:t>成交</w:t>
      </w:r>
      <w:r>
        <w:rPr>
          <w:rStyle w:val="21"/>
          <w:rFonts w:hint="eastAsia" w:ascii="宋体" w:hAnsi="宋体"/>
          <w:color w:val="auto"/>
          <w:kern w:val="0"/>
          <w:sz w:val="24"/>
          <w:highlight w:val="none"/>
        </w:rPr>
        <w:t>候选人</w:t>
      </w:r>
      <w:r>
        <w:rPr>
          <w:rStyle w:val="21"/>
          <w:rFonts w:ascii="宋体" w:hAnsi="宋体"/>
          <w:color w:val="auto"/>
          <w:kern w:val="0"/>
          <w:sz w:val="24"/>
          <w:highlight w:val="none"/>
        </w:rPr>
        <w:t>，若最后报价相同的，则按竞价人提交的最后报价先后顺序确定成交</w:t>
      </w:r>
      <w:r>
        <w:rPr>
          <w:rStyle w:val="21"/>
          <w:rFonts w:hint="eastAsia" w:ascii="宋体" w:hAnsi="宋体"/>
          <w:color w:val="auto"/>
          <w:kern w:val="0"/>
          <w:sz w:val="24"/>
          <w:highlight w:val="none"/>
        </w:rPr>
        <w:t>候选</w:t>
      </w:r>
      <w:r>
        <w:rPr>
          <w:rStyle w:val="21"/>
          <w:rFonts w:ascii="宋体" w:hAnsi="宋体"/>
          <w:color w:val="auto"/>
          <w:kern w:val="0"/>
          <w:sz w:val="24"/>
          <w:highlight w:val="none"/>
        </w:rPr>
        <w:t>人，即提出该最后报价时间较早的作为成交</w:t>
      </w:r>
      <w:r>
        <w:rPr>
          <w:rStyle w:val="21"/>
          <w:rFonts w:hint="eastAsia" w:ascii="宋体" w:hAnsi="宋体"/>
          <w:color w:val="auto"/>
          <w:kern w:val="0"/>
          <w:sz w:val="24"/>
          <w:highlight w:val="none"/>
        </w:rPr>
        <w:t>候选</w:t>
      </w:r>
      <w:r>
        <w:rPr>
          <w:rStyle w:val="21"/>
          <w:rFonts w:ascii="宋体" w:hAnsi="宋体"/>
          <w:color w:val="auto"/>
          <w:kern w:val="0"/>
          <w:sz w:val="24"/>
          <w:highlight w:val="none"/>
        </w:rPr>
        <w:t>人。若出现上述结果均相同的，则采取随机抽取方式确定。</w:t>
      </w:r>
    </w:p>
    <w:p>
      <w:pPr>
        <w:widowControl/>
        <w:spacing w:line="460" w:lineRule="exact"/>
        <w:ind w:firstLine="480" w:firstLineChars="200"/>
        <w:textAlignment w:val="baseline"/>
        <w:rPr>
          <w:rStyle w:val="21"/>
          <w:rFonts w:ascii="宋体" w:hAnsi="宋体"/>
          <w:color w:val="auto"/>
          <w:kern w:val="0"/>
          <w:sz w:val="24"/>
          <w:highlight w:val="none"/>
        </w:rPr>
      </w:pPr>
      <w:r>
        <w:rPr>
          <w:rFonts w:hint="eastAsia" w:ascii="宋体" w:hAnsi="宋体"/>
          <w:color w:val="auto"/>
          <w:sz w:val="24"/>
          <w:highlight w:val="none"/>
        </w:rPr>
        <w:t>（4）</w:t>
      </w:r>
      <w:r>
        <w:rPr>
          <w:rStyle w:val="21"/>
          <w:rFonts w:hint="eastAsia" w:ascii="宋体" w:hAnsi="宋体"/>
          <w:color w:val="auto"/>
          <w:kern w:val="0"/>
          <w:sz w:val="24"/>
          <w:highlight w:val="none"/>
        </w:rPr>
        <w:t>竞价人在竞价平台上传的响应文件扫描件</w:t>
      </w:r>
      <w:r>
        <w:rPr>
          <w:rStyle w:val="21"/>
          <w:rFonts w:ascii="宋体" w:hAnsi="宋体"/>
          <w:color w:val="auto"/>
          <w:kern w:val="0"/>
          <w:sz w:val="24"/>
          <w:highlight w:val="none"/>
        </w:rPr>
        <w:t>具有法律效力。</w:t>
      </w:r>
    </w:p>
    <w:p>
      <w:pPr>
        <w:widowControl/>
        <w:spacing w:line="460" w:lineRule="exact"/>
        <w:ind w:firstLine="480" w:firstLineChars="200"/>
        <w:textAlignment w:val="baseline"/>
        <w:rPr>
          <w:rFonts w:ascii="宋体" w:hAnsi="宋体"/>
          <w:b/>
          <w:bCs/>
          <w:color w:val="auto"/>
          <w:sz w:val="24"/>
          <w:highlight w:val="none"/>
        </w:rPr>
      </w:pPr>
      <w:r>
        <w:rPr>
          <w:rFonts w:hint="eastAsia" w:ascii="宋体" w:hAnsi="宋体"/>
          <w:color w:val="auto"/>
          <w:sz w:val="24"/>
          <w:highlight w:val="none"/>
        </w:rPr>
        <w:t>（5）</w:t>
      </w:r>
      <w:r>
        <w:rPr>
          <w:rFonts w:hint="eastAsia" w:ascii="宋体" w:hAnsi="宋体"/>
          <w:b/>
          <w:bCs/>
          <w:color w:val="auto"/>
          <w:sz w:val="24"/>
          <w:highlight w:val="none"/>
        </w:rPr>
        <w:t>竞价人请认真阅读本竞价文件所有条款内容，一经提交响应文件，即视为知悉并同意竞价文件规定的所有条款内容，并不得在竞价后以任何理由对竞价文件提出质疑。在成交后须按竞价文件规定执行，否则视为虚假响应，采购人将追究其相应责任，如保证金不予退还或履约保证金不予退还等，对于采购人产生的损失还应予以赔偿，采购人有权禁止该公司参与采购人单位的其他项目竞价等。</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（6）</w:t>
      </w:r>
      <w:r>
        <w:rPr>
          <w:rStyle w:val="21"/>
          <w:rFonts w:hint="eastAsia" w:ascii="宋体" w:hAnsi="宋体"/>
          <w:color w:val="auto"/>
          <w:kern w:val="0"/>
          <w:sz w:val="24"/>
          <w:highlight w:val="none"/>
        </w:rPr>
        <w:t>竞价人可在</w:t>
      </w:r>
      <w:r>
        <w:rPr>
          <w:rStyle w:val="21"/>
          <w:rFonts w:ascii="宋体" w:hAnsi="宋体"/>
          <w:color w:val="auto"/>
          <w:kern w:val="0"/>
          <w:sz w:val="24"/>
          <w:highlight w:val="none"/>
        </w:rPr>
        <w:t>福建省宏瑞招标代理有限公司网站（http://www.fjhongrui.com）下载中心下载“宏瑞招标网上竞价系统操作手册-</w:t>
      </w:r>
      <w:r>
        <w:rPr>
          <w:rStyle w:val="21"/>
          <w:rFonts w:hint="eastAsia" w:ascii="宋体" w:hAnsi="宋体"/>
          <w:color w:val="auto"/>
          <w:kern w:val="0"/>
          <w:sz w:val="24"/>
          <w:highlight w:val="none"/>
        </w:rPr>
        <w:t>竞价人</w:t>
      </w:r>
      <w:r>
        <w:rPr>
          <w:rStyle w:val="21"/>
          <w:rFonts w:ascii="宋体" w:hAnsi="宋体"/>
          <w:color w:val="auto"/>
          <w:kern w:val="0"/>
          <w:sz w:val="24"/>
          <w:highlight w:val="none"/>
        </w:rPr>
        <w:t>端v1.0”指引，</w:t>
      </w:r>
      <w:r>
        <w:rPr>
          <w:rStyle w:val="21"/>
          <w:rFonts w:hint="eastAsia" w:ascii="宋体" w:hAnsi="宋体"/>
          <w:color w:val="auto"/>
          <w:kern w:val="0"/>
          <w:sz w:val="24"/>
          <w:highlight w:val="none"/>
        </w:rPr>
        <w:t>根据说明</w:t>
      </w:r>
      <w:r>
        <w:rPr>
          <w:rStyle w:val="21"/>
          <w:rFonts w:ascii="宋体" w:hAnsi="宋体"/>
          <w:color w:val="auto"/>
          <w:kern w:val="0"/>
          <w:sz w:val="24"/>
          <w:highlight w:val="none"/>
        </w:rPr>
        <w:t>进行报名、下载、上传、竞价等相关操作，</w:t>
      </w:r>
      <w:r>
        <w:rPr>
          <w:rStyle w:val="21"/>
          <w:rFonts w:hint="eastAsia" w:ascii="宋体" w:hAnsi="宋体"/>
          <w:color w:val="auto"/>
          <w:kern w:val="0"/>
          <w:sz w:val="24"/>
          <w:highlight w:val="none"/>
        </w:rPr>
        <w:t>若实际系统操作中与操作手册不一致的，以实际系统要求的进行操作，</w:t>
      </w:r>
      <w:r>
        <w:rPr>
          <w:rStyle w:val="21"/>
          <w:rFonts w:ascii="宋体" w:hAnsi="宋体"/>
          <w:color w:val="auto"/>
          <w:kern w:val="0"/>
          <w:sz w:val="24"/>
          <w:highlight w:val="none"/>
        </w:rPr>
        <w:t>若因</w:t>
      </w:r>
      <w:r>
        <w:rPr>
          <w:rStyle w:val="21"/>
          <w:rFonts w:hint="eastAsia" w:ascii="宋体" w:hAnsi="宋体"/>
          <w:color w:val="auto"/>
          <w:kern w:val="0"/>
          <w:sz w:val="24"/>
          <w:highlight w:val="none"/>
        </w:rPr>
        <w:t>竞价人</w:t>
      </w:r>
      <w:r>
        <w:rPr>
          <w:rStyle w:val="21"/>
          <w:rFonts w:ascii="宋体" w:hAnsi="宋体"/>
          <w:color w:val="auto"/>
          <w:kern w:val="0"/>
          <w:sz w:val="24"/>
          <w:highlight w:val="none"/>
        </w:rPr>
        <w:t>自身操作不当原因导致报名、下载、上传、竞价等无效，应自行承担相应后果。</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13.最终有效报价确认办法</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（1）在提交的响应文件全部满足竞价文件要求的前提下依据统一的价格要素评定最低报价,按最后报价最低者作为成交候选人，经采购人确认后作为成交人。</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（2）算术错误将按以下方法更正：</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①竞价人在竞价平台提交的最后一次报价与竞价人最后一次上传的报价文件中的报价一览表总价不一致的，以竞价人在竞价平台提交的最后一次报价为准；</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②报价一览表中大写金额和小写金额不一致的，以大写金额为准；</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③报价一览表中单价金额小数点或百分比有明显错位的，以报价一览表的总价为准，并修改单价；</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④报价一览表中总价金额与按照单价汇总金额不一致的，以单价金额计算结果为准。</w:t>
      </w:r>
    </w:p>
    <w:p>
      <w:pPr>
        <w:widowControl/>
        <w:spacing w:line="46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※同时出现两种以上不一致的，按照前款规定的顺序修正。</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14.竞价人应遵守采购相关法规，若竞价人违反规定，将按有关规定处理。</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15.竞价结果确认</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网上竞价公告期满，福建省宏瑞招标代理有限公司以书面方式通知采购人。同时将成交结果信息在</w:t>
      </w:r>
      <w:r>
        <w:rPr>
          <w:rFonts w:hint="eastAsia" w:ascii="宋体" w:hAnsi="宋体" w:cs="宋体"/>
          <w:color w:val="auto"/>
          <w:kern w:val="0"/>
          <w:sz w:val="24"/>
          <w:highlight w:val="none"/>
        </w:rPr>
        <w:t>在中国政府采购网，网址www.ccgp.gov.cn、福建省宏瑞招标代理有限公司网站（http://www.fjhongrui.com）</w:t>
      </w:r>
      <w:r>
        <w:rPr>
          <w:rFonts w:hint="eastAsia" w:ascii="宋体" w:hAnsi="宋体" w:cs="宋体"/>
          <w:color w:val="auto"/>
          <w:sz w:val="24"/>
          <w:highlight w:val="none"/>
        </w:rPr>
        <w:t>上公告，公告期限为本公告之日起1个工作日。</w:t>
      </w:r>
    </w:p>
    <w:p>
      <w:pPr>
        <w:widowControl/>
        <w:ind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采购单位在提出采购需求时指定品牌的，须在采购单位指定的品牌范围内选定，不符合规定的，</w:t>
      </w:r>
      <w:r>
        <w:rPr>
          <w:rFonts w:hint="eastAsia" w:ascii="宋体" w:hAnsi="宋体" w:cs="宋体"/>
          <w:b/>
          <w:bCs/>
          <w:color w:val="auto"/>
          <w:sz w:val="24"/>
          <w:highlight w:val="none"/>
        </w:rPr>
        <w:t>网上竞价无效。</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16.竞价报价偏差</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重大偏差。下列情况属于重大偏差：</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①响应文件未按竞价文件要求加盖公章并由单位负责人或其书面授权的代理人签字的；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②响应文件载明的竞价项目完成期限超过竞价文件规定的；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③明显不符合技术规格、技术标准的要求；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④响应文件载明的货物包装方式、检验标准和方法等不符合竞价文件的要求；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⑤竞价人在竞价平台提交的报价明显低于成本价（提供书面说明不合理的）或存在恶意竞争情形的；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⑥响应文件附有采购人不能接受的条件；</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⑦不符合竞价文件中规定的其他实质性要求。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响应文件有上述情形之一的，认定为未对竞价文件作出实质性响应，</w:t>
      </w:r>
      <w:r>
        <w:rPr>
          <w:rFonts w:hint="eastAsia" w:ascii="宋体" w:hAnsi="宋体" w:cs="宋体"/>
          <w:b/>
          <w:bCs/>
          <w:color w:val="auto"/>
          <w:sz w:val="24"/>
          <w:highlight w:val="none"/>
        </w:rPr>
        <w:t>作无效报价处理</w:t>
      </w:r>
      <w:r>
        <w:rPr>
          <w:rFonts w:hint="eastAsia" w:ascii="宋体" w:hAnsi="宋体" w:cs="宋体"/>
          <w:color w:val="auto"/>
          <w:sz w:val="24"/>
          <w:highlight w:val="none"/>
        </w:rPr>
        <w:t>。</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细微偏差。响应文件在实质上响应竞价文件要求，但在个别地方存在漏项或者提供了不完整的技术信息和数据等情况，并且补正这些遗漏或者不完整不会对其他竞价人造成不公平的结果。细微偏差不影响响应文件的有效性。</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存在细微偏差的竞价人要求在报名结束前予以补正。补正的程序和方法按照法律法规对澄清的规定执行。无法补正的，可在审核时对细微偏差作不利于该竞价人的认定。3个以上（含3个）的累积细微偏差视为技术商务不合格，该竞价人报名审核将不通过。</w:t>
      </w:r>
    </w:p>
    <w:p>
      <w:pPr>
        <w:pStyle w:val="11"/>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若成交人的响应文件描述存在前后不一致或响应内容与证明材料不一致或多份证明材料之间不一致或存在其他未响应本竞价文件的情形的，但在报名审核中未能发现，采购人将有权以响应文件描述或证明材料中有利于采购人的内容进行验收或直接取消其成交资格，成交人应自行承担由此产生的风险及费用。</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17.签订合同、服务时间、服务地点</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成交人领取《网竞成交通知书》后，应在《网竞成交通知书》发出之日起15天内与采购人签订合同，并按合同规定执行相关义务。</w:t>
      </w:r>
    </w:p>
    <w:p>
      <w:pPr>
        <w:pStyle w:val="14"/>
        <w:spacing w:before="0" w:beforeAutospacing="0" w:after="0" w:afterAutospacing="0" w:line="460" w:lineRule="exact"/>
        <w:ind w:firstLine="480" w:firstLineChars="200"/>
        <w:rPr>
          <w:color w:val="auto"/>
          <w:kern w:val="2"/>
          <w:highlight w:val="none"/>
        </w:rPr>
      </w:pPr>
      <w:r>
        <w:rPr>
          <w:rFonts w:hint="eastAsia"/>
          <w:color w:val="auto"/>
          <w:kern w:val="2"/>
          <w:highlight w:val="none"/>
        </w:rPr>
        <w:t>18.如果竞价人发生以下任何一种情况时，其竞价保证金将被不予退还：</w:t>
      </w:r>
    </w:p>
    <w:p>
      <w:pPr>
        <w:pStyle w:val="14"/>
        <w:spacing w:before="0" w:beforeAutospacing="0" w:after="0" w:afterAutospacing="0" w:line="460" w:lineRule="exact"/>
        <w:ind w:firstLine="480" w:firstLineChars="200"/>
        <w:rPr>
          <w:color w:val="auto"/>
          <w:kern w:val="2"/>
          <w:highlight w:val="none"/>
        </w:rPr>
      </w:pPr>
      <w:r>
        <w:rPr>
          <w:rFonts w:hint="eastAsia"/>
          <w:color w:val="auto"/>
          <w:kern w:val="2"/>
          <w:highlight w:val="none"/>
        </w:rPr>
        <w:t>（1）竞价人在证明材料文件中提供虚假材料的；</w:t>
      </w:r>
    </w:p>
    <w:p>
      <w:pPr>
        <w:pStyle w:val="14"/>
        <w:spacing w:before="0" w:beforeAutospacing="0" w:after="0" w:afterAutospacing="0" w:line="460" w:lineRule="exact"/>
        <w:ind w:firstLine="480" w:firstLineChars="200"/>
        <w:rPr>
          <w:color w:val="auto"/>
          <w:kern w:val="2"/>
          <w:highlight w:val="none"/>
        </w:rPr>
      </w:pPr>
      <w:r>
        <w:rPr>
          <w:rFonts w:hint="eastAsia"/>
          <w:color w:val="auto"/>
          <w:kern w:val="2"/>
          <w:highlight w:val="none"/>
        </w:rPr>
        <w:t>（2）除因不可抗力或竞价文件认可的情形以外，成交人不与采购人签订合同或不能履约的；</w:t>
      </w:r>
    </w:p>
    <w:p>
      <w:pPr>
        <w:pStyle w:val="14"/>
        <w:spacing w:before="0" w:beforeAutospacing="0" w:after="0" w:afterAutospacing="0" w:line="460" w:lineRule="exact"/>
        <w:ind w:firstLine="480" w:firstLineChars="200"/>
        <w:rPr>
          <w:color w:val="auto"/>
          <w:kern w:val="2"/>
          <w:highlight w:val="none"/>
        </w:rPr>
      </w:pPr>
      <w:r>
        <w:rPr>
          <w:rFonts w:hint="eastAsia"/>
          <w:color w:val="auto"/>
          <w:kern w:val="2"/>
          <w:highlight w:val="none"/>
        </w:rPr>
        <w:t>（3）成交人自动放弃成交资格的；</w:t>
      </w:r>
    </w:p>
    <w:p>
      <w:pPr>
        <w:pStyle w:val="14"/>
        <w:spacing w:before="0" w:beforeAutospacing="0" w:after="0" w:afterAutospacing="0" w:line="460" w:lineRule="exact"/>
        <w:ind w:firstLine="480" w:firstLineChars="200"/>
        <w:rPr>
          <w:color w:val="auto"/>
          <w:kern w:val="2"/>
          <w:highlight w:val="none"/>
        </w:rPr>
      </w:pPr>
      <w:r>
        <w:rPr>
          <w:rFonts w:hint="eastAsia"/>
          <w:color w:val="auto"/>
          <w:kern w:val="2"/>
          <w:highlight w:val="none"/>
        </w:rPr>
        <w:t>（4）竞价人假借以他人名义参加报价或者以其他方式弄虚作假，骗取成交；</w:t>
      </w:r>
    </w:p>
    <w:p>
      <w:pPr>
        <w:pStyle w:val="14"/>
        <w:spacing w:before="0" w:beforeAutospacing="0" w:after="0" w:afterAutospacing="0" w:line="460" w:lineRule="exact"/>
        <w:ind w:firstLine="480" w:firstLineChars="200"/>
        <w:rPr>
          <w:color w:val="auto"/>
          <w:kern w:val="2"/>
          <w:highlight w:val="none"/>
        </w:rPr>
      </w:pPr>
      <w:r>
        <w:rPr>
          <w:rFonts w:hint="eastAsia"/>
          <w:color w:val="auto"/>
          <w:kern w:val="2"/>
          <w:highlight w:val="none"/>
        </w:rPr>
        <w:t>（5）国家法律法规以及竞价文件中规定的其他竞价保证金不予退还的情形。</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上述不予退还竞价保证金的情况不能抵偿给采购人或采购代理机构造成损失的，竞价人还要承担赔偿责任。</w:t>
      </w:r>
    </w:p>
    <w:p>
      <w:pPr>
        <w:widowControl/>
        <w:numPr>
          <w:ilvl w:val="255"/>
          <w:numId w:val="0"/>
        </w:numPr>
        <w:spacing w:line="460" w:lineRule="exact"/>
        <w:ind w:firstLine="482" w:firstLineChars="200"/>
        <w:jc w:val="left"/>
        <w:textAlignment w:val="baseline"/>
        <w:rPr>
          <w:rStyle w:val="21"/>
          <w:rFonts w:ascii="宋体" w:hAnsi="宋体" w:cs="宋体"/>
          <w:b/>
          <w:bCs/>
          <w:color w:val="auto"/>
          <w:sz w:val="24"/>
          <w:highlight w:val="none"/>
        </w:rPr>
      </w:pPr>
      <w:r>
        <w:rPr>
          <w:rStyle w:val="21"/>
          <w:rFonts w:hint="eastAsia" w:ascii="宋体" w:hAnsi="宋体" w:cs="宋体"/>
          <w:b/>
          <w:bCs/>
          <w:color w:val="auto"/>
          <w:sz w:val="24"/>
          <w:highlight w:val="none"/>
        </w:rPr>
        <w:t>19.其他：</w:t>
      </w:r>
    </w:p>
    <w:p>
      <w:pPr>
        <w:widowControl/>
        <w:numPr>
          <w:ilvl w:val="255"/>
          <w:numId w:val="0"/>
        </w:numPr>
        <w:spacing w:line="460" w:lineRule="exact"/>
        <w:ind w:firstLine="482" w:firstLineChars="200"/>
        <w:jc w:val="left"/>
        <w:textAlignment w:val="baseline"/>
        <w:rPr>
          <w:rStyle w:val="21"/>
          <w:color w:val="auto"/>
          <w:highlight w:val="none"/>
        </w:rPr>
      </w:pPr>
      <w:r>
        <w:rPr>
          <w:rStyle w:val="21"/>
          <w:rFonts w:hint="eastAsia" w:ascii="宋体" w:hAnsi="宋体" w:cs="宋体"/>
          <w:b/>
          <w:bCs/>
          <w:color w:val="auto"/>
          <w:sz w:val="24"/>
          <w:highlight w:val="none"/>
        </w:rPr>
        <w:t>成交公告发布后成交人须提供纸质响应文件，其他竞价人无需提供。纸质响应文件份数：1套正本，2套副本，副本可以是正本的完整复印件，纸质响应文件均须逐页加盖公章且装订成册。</w:t>
      </w:r>
    </w:p>
    <w:p>
      <w:pPr>
        <w:widowControl/>
        <w:rPr>
          <w:rFonts w:ascii="宋体" w:hAnsi="宋体" w:cs="宋体"/>
          <w:b/>
          <w:color w:val="auto"/>
          <w:kern w:val="0"/>
          <w:sz w:val="32"/>
          <w:szCs w:val="32"/>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pStyle w:val="20"/>
        <w:rPr>
          <w:rFonts w:ascii="宋体" w:hAnsi="宋体"/>
          <w:b/>
          <w:bCs/>
          <w:color w:val="auto"/>
          <w:sz w:val="30"/>
          <w:szCs w:val="30"/>
          <w:highlight w:val="none"/>
        </w:rPr>
      </w:pPr>
    </w:p>
    <w:p>
      <w:pPr>
        <w:widowControl/>
        <w:jc w:val="center"/>
        <w:outlineLvl w:val="0"/>
        <w:rPr>
          <w:rFonts w:ascii="宋体" w:hAnsi="宋体" w:cs="宋体"/>
          <w:b/>
          <w:color w:val="auto"/>
          <w:kern w:val="0"/>
          <w:sz w:val="32"/>
          <w:szCs w:val="32"/>
          <w:highlight w:val="none"/>
        </w:rPr>
      </w:pPr>
      <w:bookmarkStart w:id="2" w:name="_Toc15388"/>
      <w:bookmarkStart w:id="3" w:name="_Toc22138"/>
      <w:r>
        <w:rPr>
          <w:rFonts w:hint="eastAsia" w:ascii="宋体" w:hAnsi="宋体" w:cs="宋体"/>
          <w:b/>
          <w:color w:val="auto"/>
          <w:kern w:val="0"/>
          <w:sz w:val="32"/>
          <w:szCs w:val="32"/>
          <w:highlight w:val="none"/>
        </w:rPr>
        <w:t>第二章 网上竞价内容及要求</w:t>
      </w:r>
      <w:bookmarkEnd w:id="2"/>
      <w:bookmarkEnd w:id="3"/>
    </w:p>
    <w:p>
      <w:pPr>
        <w:snapToGrid w:val="0"/>
        <w:spacing w:line="400" w:lineRule="exact"/>
        <w:ind w:right="168" w:rightChars="80"/>
        <w:outlineLvl w:val="1"/>
        <w:rPr>
          <w:rFonts w:ascii="宋体" w:hAnsi="宋体" w:cs="宋体"/>
          <w:b/>
          <w:color w:val="auto"/>
          <w:sz w:val="24"/>
          <w:highlight w:val="none"/>
        </w:rPr>
      </w:pPr>
      <w:bookmarkStart w:id="4" w:name="_Toc359317661"/>
      <w:bookmarkStart w:id="5" w:name="_Toc358016816"/>
      <w:bookmarkStart w:id="6" w:name="_Toc347060296"/>
      <w:bookmarkStart w:id="7" w:name="_Toc346300367"/>
      <w:bookmarkStart w:id="8" w:name="_Toc330567034"/>
      <w:bookmarkStart w:id="9" w:name="_Toc327948617"/>
      <w:r>
        <w:rPr>
          <w:rFonts w:hint="eastAsia" w:ascii="宋体" w:hAnsi="宋体" w:cs="宋体"/>
          <w:b/>
          <w:color w:val="auto"/>
          <w:sz w:val="24"/>
          <w:highlight w:val="none"/>
        </w:rPr>
        <w:t>一、项目概述</w:t>
      </w:r>
      <w:bookmarkEnd w:id="4"/>
      <w:bookmarkEnd w:id="5"/>
    </w:p>
    <w:p>
      <w:pPr>
        <w:pStyle w:val="22"/>
        <w:spacing w:line="460" w:lineRule="atLeast"/>
        <w:rPr>
          <w:rFonts w:ascii="宋体" w:hAnsi="宋体"/>
          <w:color w:val="auto"/>
          <w:sz w:val="24"/>
          <w:highlight w:val="none"/>
        </w:rPr>
      </w:pPr>
      <w:r>
        <w:rPr>
          <w:rFonts w:hint="eastAsia" w:ascii="宋体" w:hAnsi="宋体"/>
          <w:color w:val="auto"/>
          <w:sz w:val="24"/>
          <w:highlight w:val="none"/>
        </w:rPr>
        <w:t>1.采购标的一览表</w:t>
      </w:r>
    </w:p>
    <w:p>
      <w:pPr>
        <w:pStyle w:val="22"/>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6"/>
        <w:tblW w:w="51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866"/>
        <w:gridCol w:w="1859"/>
        <w:gridCol w:w="1185"/>
        <w:gridCol w:w="1185"/>
        <w:gridCol w:w="1611"/>
        <w:gridCol w:w="151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73" w:type="pct"/>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合同包</w:t>
            </w:r>
          </w:p>
        </w:tc>
        <w:tc>
          <w:tcPr>
            <w:tcW w:w="426" w:type="pct"/>
            <w:vAlign w:val="center"/>
          </w:tcPr>
          <w:p>
            <w:pPr>
              <w:pStyle w:val="9"/>
              <w:snapToGrid w:val="0"/>
              <w:ind w:left="-105" w:leftChars="-50" w:right="-105" w:rightChars="-50"/>
              <w:jc w:val="center"/>
              <w:rPr>
                <w:rFonts w:hAnsi="宋体"/>
                <w:b/>
                <w:color w:val="auto"/>
                <w:sz w:val="24"/>
                <w:highlight w:val="none"/>
              </w:rPr>
            </w:pPr>
            <w:r>
              <w:rPr>
                <w:rFonts w:hint="eastAsia" w:hAnsi="宋体" w:cs="宋体"/>
                <w:b/>
                <w:bCs/>
                <w:color w:val="auto"/>
                <w:sz w:val="24"/>
                <w:highlight w:val="none"/>
              </w:rPr>
              <w:t>品目号</w:t>
            </w:r>
          </w:p>
        </w:tc>
        <w:tc>
          <w:tcPr>
            <w:tcW w:w="915" w:type="pct"/>
            <w:vAlign w:val="center"/>
          </w:tcPr>
          <w:p>
            <w:pPr>
              <w:pStyle w:val="9"/>
              <w:snapToGrid w:val="0"/>
              <w:ind w:left="-105" w:leftChars="-50" w:right="-105" w:rightChars="-50"/>
              <w:jc w:val="center"/>
              <w:rPr>
                <w:rFonts w:hAnsi="宋体" w:cs="宋体"/>
                <w:b/>
                <w:bCs/>
                <w:color w:val="auto"/>
                <w:sz w:val="24"/>
                <w:highlight w:val="none"/>
              </w:rPr>
            </w:pPr>
            <w:r>
              <w:rPr>
                <w:rFonts w:hint="eastAsia" w:hAnsi="宋体" w:cs="宋体"/>
                <w:b/>
                <w:bCs/>
                <w:color w:val="auto"/>
                <w:sz w:val="24"/>
                <w:highlight w:val="none"/>
              </w:rPr>
              <w:t>采购标的</w:t>
            </w:r>
          </w:p>
        </w:tc>
        <w:tc>
          <w:tcPr>
            <w:tcW w:w="583" w:type="pct"/>
            <w:vAlign w:val="center"/>
          </w:tcPr>
          <w:p>
            <w:pPr>
              <w:pStyle w:val="9"/>
              <w:snapToGrid w:val="0"/>
              <w:ind w:left="-105" w:leftChars="-50" w:right="-105" w:rightChars="-50"/>
              <w:jc w:val="center"/>
              <w:rPr>
                <w:rFonts w:hAnsi="宋体" w:cs="宋体"/>
                <w:b/>
                <w:bCs/>
                <w:color w:val="auto"/>
                <w:sz w:val="24"/>
                <w:highlight w:val="none"/>
              </w:rPr>
            </w:pPr>
            <w:r>
              <w:rPr>
                <w:rFonts w:hint="eastAsia" w:hAnsi="宋体" w:cs="宋体"/>
                <w:b/>
                <w:bCs/>
                <w:color w:val="auto"/>
                <w:sz w:val="24"/>
                <w:highlight w:val="none"/>
              </w:rPr>
              <w:t>允许进口</w:t>
            </w:r>
          </w:p>
        </w:tc>
        <w:tc>
          <w:tcPr>
            <w:tcW w:w="583" w:type="pct"/>
            <w:vAlign w:val="center"/>
          </w:tcPr>
          <w:p>
            <w:pPr>
              <w:pStyle w:val="9"/>
              <w:snapToGrid w:val="0"/>
              <w:ind w:left="-105" w:leftChars="-50" w:right="-105" w:rightChars="-50"/>
              <w:jc w:val="center"/>
              <w:rPr>
                <w:rFonts w:hAnsi="宋体" w:cs="宋体"/>
                <w:b/>
                <w:bCs/>
                <w:color w:val="auto"/>
                <w:sz w:val="24"/>
                <w:highlight w:val="none"/>
              </w:rPr>
            </w:pPr>
            <w:r>
              <w:rPr>
                <w:rFonts w:hint="eastAsia" w:hAnsi="宋体" w:cs="宋体"/>
                <w:b/>
                <w:bCs/>
                <w:color w:val="auto"/>
                <w:sz w:val="24"/>
                <w:highlight w:val="none"/>
              </w:rPr>
              <w:t>数量</w:t>
            </w:r>
          </w:p>
        </w:tc>
        <w:tc>
          <w:tcPr>
            <w:tcW w:w="793" w:type="pct"/>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品目号预算</w:t>
            </w:r>
          </w:p>
        </w:tc>
        <w:tc>
          <w:tcPr>
            <w:tcW w:w="744" w:type="pct"/>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合同包预算</w:t>
            </w:r>
          </w:p>
        </w:tc>
        <w:tc>
          <w:tcPr>
            <w:tcW w:w="479" w:type="pct"/>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3" w:type="pct"/>
            <w:vMerge w:val="restar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26" w:type="pc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915" w:type="pc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sz w:val="24"/>
                <w:highlight w:val="none"/>
              </w:rPr>
              <w:t>梯度PCR仪</w:t>
            </w:r>
          </w:p>
        </w:tc>
        <w:tc>
          <w:tcPr>
            <w:tcW w:w="583" w:type="pc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否</w:t>
            </w:r>
          </w:p>
        </w:tc>
        <w:tc>
          <w:tcPr>
            <w:tcW w:w="1016" w:type="dxa"/>
            <w:vAlign w:val="center"/>
          </w:tcPr>
          <w:p>
            <w:pPr>
              <w:snapToGrid w:val="0"/>
              <w:spacing w:line="36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1382" w:type="dxa"/>
            <w:vAlign w:val="center"/>
          </w:tcPr>
          <w:p>
            <w:pPr>
              <w:snapToGrid w:val="0"/>
              <w:spacing w:line="36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114000</w:t>
            </w:r>
          </w:p>
        </w:tc>
        <w:tc>
          <w:tcPr>
            <w:tcW w:w="744" w:type="pct"/>
            <w:vMerge w:val="restart"/>
            <w:vAlign w:val="center"/>
          </w:tcPr>
          <w:p>
            <w:pPr>
              <w:snapToGrid w:val="0"/>
              <w:spacing w:line="36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172000 </w:t>
            </w:r>
          </w:p>
        </w:tc>
        <w:tc>
          <w:tcPr>
            <w:tcW w:w="479" w:type="pct"/>
            <w:vMerge w:val="restar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3" w:type="pct"/>
            <w:vMerge w:val="continue"/>
            <w:vAlign w:val="center"/>
          </w:tcPr>
          <w:p>
            <w:pPr>
              <w:snapToGrid w:val="0"/>
              <w:spacing w:line="360" w:lineRule="exact"/>
              <w:jc w:val="center"/>
              <w:rPr>
                <w:rFonts w:ascii="宋体" w:hAnsi="宋体" w:cs="宋体"/>
                <w:color w:val="auto"/>
                <w:kern w:val="0"/>
                <w:sz w:val="24"/>
                <w:highlight w:val="none"/>
              </w:rPr>
            </w:pPr>
          </w:p>
        </w:tc>
        <w:tc>
          <w:tcPr>
            <w:tcW w:w="426" w:type="pc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915" w:type="pc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sz w:val="24"/>
                <w:highlight w:val="none"/>
              </w:rPr>
              <w:t>双槽PCR仪</w:t>
            </w:r>
          </w:p>
        </w:tc>
        <w:tc>
          <w:tcPr>
            <w:tcW w:w="583" w:type="pc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否</w:t>
            </w:r>
          </w:p>
        </w:tc>
        <w:tc>
          <w:tcPr>
            <w:tcW w:w="1016" w:type="dxa"/>
            <w:vAlign w:val="center"/>
          </w:tcPr>
          <w:p>
            <w:pPr>
              <w:snapToGrid w:val="0"/>
              <w:spacing w:line="36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1382" w:type="dxa"/>
            <w:vAlign w:val="center"/>
          </w:tcPr>
          <w:p>
            <w:pPr>
              <w:snapToGrid w:val="0"/>
              <w:spacing w:line="36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40000</w:t>
            </w:r>
          </w:p>
        </w:tc>
        <w:tc>
          <w:tcPr>
            <w:tcW w:w="744" w:type="pct"/>
            <w:vMerge w:val="continue"/>
            <w:vAlign w:val="center"/>
          </w:tcPr>
          <w:p>
            <w:pPr>
              <w:snapToGrid w:val="0"/>
              <w:spacing w:line="360" w:lineRule="exact"/>
              <w:jc w:val="center"/>
              <w:rPr>
                <w:rFonts w:ascii="宋体" w:hAnsi="宋体" w:cs="宋体"/>
                <w:color w:val="auto"/>
                <w:kern w:val="0"/>
                <w:sz w:val="24"/>
                <w:highlight w:val="none"/>
                <w:lang w:bidi="ar"/>
              </w:rPr>
            </w:pPr>
          </w:p>
        </w:tc>
        <w:tc>
          <w:tcPr>
            <w:tcW w:w="479" w:type="pct"/>
            <w:vMerge w:val="continue"/>
            <w:vAlign w:val="center"/>
          </w:tcPr>
          <w:p>
            <w:pPr>
              <w:snapToGrid w:val="0"/>
              <w:spacing w:line="36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3" w:type="pct"/>
            <w:vMerge w:val="continue"/>
            <w:vAlign w:val="center"/>
          </w:tcPr>
          <w:p>
            <w:pPr>
              <w:snapToGrid w:val="0"/>
              <w:spacing w:line="360" w:lineRule="exact"/>
              <w:jc w:val="center"/>
              <w:rPr>
                <w:rFonts w:ascii="宋体" w:hAnsi="宋体" w:cs="宋体"/>
                <w:color w:val="auto"/>
                <w:kern w:val="0"/>
                <w:sz w:val="24"/>
                <w:highlight w:val="none"/>
              </w:rPr>
            </w:pPr>
          </w:p>
        </w:tc>
        <w:tc>
          <w:tcPr>
            <w:tcW w:w="426" w:type="pc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915" w:type="pc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sz w:val="24"/>
                <w:highlight w:val="none"/>
              </w:rPr>
              <w:t>高速离心机</w:t>
            </w:r>
          </w:p>
        </w:tc>
        <w:tc>
          <w:tcPr>
            <w:tcW w:w="583" w:type="pct"/>
            <w:vAlign w:val="center"/>
          </w:tcPr>
          <w:p>
            <w:pPr>
              <w:snapToGrid w:val="0"/>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否</w:t>
            </w:r>
          </w:p>
        </w:tc>
        <w:tc>
          <w:tcPr>
            <w:tcW w:w="1016" w:type="dxa"/>
            <w:vAlign w:val="center"/>
          </w:tcPr>
          <w:p>
            <w:pPr>
              <w:snapToGrid w:val="0"/>
              <w:spacing w:line="36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382" w:type="dxa"/>
            <w:vAlign w:val="center"/>
          </w:tcPr>
          <w:p>
            <w:pPr>
              <w:snapToGrid w:val="0"/>
              <w:spacing w:line="36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18000</w:t>
            </w:r>
          </w:p>
        </w:tc>
        <w:tc>
          <w:tcPr>
            <w:tcW w:w="744" w:type="pct"/>
            <w:vMerge w:val="continue"/>
            <w:vAlign w:val="center"/>
          </w:tcPr>
          <w:p>
            <w:pPr>
              <w:snapToGrid w:val="0"/>
              <w:spacing w:line="360" w:lineRule="exact"/>
              <w:jc w:val="center"/>
              <w:rPr>
                <w:rFonts w:ascii="宋体" w:hAnsi="宋体" w:cs="宋体"/>
                <w:color w:val="auto"/>
                <w:kern w:val="0"/>
                <w:sz w:val="24"/>
                <w:highlight w:val="none"/>
              </w:rPr>
            </w:pPr>
          </w:p>
        </w:tc>
        <w:tc>
          <w:tcPr>
            <w:tcW w:w="479" w:type="pct"/>
            <w:vMerge w:val="continue"/>
            <w:vAlign w:val="center"/>
          </w:tcPr>
          <w:p>
            <w:pPr>
              <w:snapToGrid w:val="0"/>
              <w:spacing w:line="360" w:lineRule="exact"/>
              <w:jc w:val="center"/>
              <w:rPr>
                <w:rFonts w:ascii="宋体" w:hAnsi="宋体" w:cs="宋体"/>
                <w:color w:val="auto"/>
                <w:kern w:val="0"/>
                <w:sz w:val="24"/>
                <w:highlight w:val="none"/>
              </w:rPr>
            </w:pPr>
          </w:p>
        </w:tc>
      </w:tr>
    </w:tbl>
    <w:p>
      <w:pPr>
        <w:spacing w:line="420" w:lineRule="exact"/>
        <w:rPr>
          <w:rFonts w:ascii="宋体" w:hAnsi="宋体" w:cs="宋体"/>
          <w:b/>
          <w:bCs/>
          <w:color w:val="auto"/>
          <w:sz w:val="24"/>
          <w:highlight w:val="none"/>
        </w:rPr>
      </w:pPr>
    </w:p>
    <w:p>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二、技术参数及商务条款</w:t>
      </w:r>
    </w:p>
    <w:p>
      <w:pPr>
        <w:pStyle w:val="5"/>
        <w:spacing w:line="46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(一)技术参数</w:t>
      </w:r>
    </w:p>
    <w:p>
      <w:pPr>
        <w:tabs>
          <w:tab w:val="left" w:pos="993"/>
          <w:tab w:val="left" w:pos="1135"/>
          <w:tab w:val="left" w:pos="1418"/>
        </w:tabs>
        <w:spacing w:line="460" w:lineRule="exact"/>
        <w:rPr>
          <w:rFonts w:ascii="宋体" w:hAnsi="宋体" w:cs="宋体"/>
          <w:b/>
          <w:bCs/>
          <w:color w:val="auto"/>
          <w:sz w:val="24"/>
          <w:highlight w:val="none"/>
          <w:lang w:bidi="ar"/>
        </w:rPr>
      </w:pPr>
      <w:r>
        <w:rPr>
          <w:rFonts w:hint="eastAsia" w:ascii="宋体" w:hAnsi="宋体" w:cs="宋体"/>
          <w:b/>
          <w:bCs/>
          <w:color w:val="auto"/>
          <w:sz w:val="24"/>
          <w:highlight w:val="none"/>
          <w:lang w:bidi="ar"/>
        </w:rPr>
        <w:t>品目号1-1梯度PCR仪</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1.模块规格</w:t>
      </w:r>
      <w:r>
        <w:rPr>
          <w:rFonts w:hint="eastAsia" w:ascii="宋体" w:hAnsi="宋体" w:cs="宋体"/>
          <w:color w:val="auto"/>
          <w:sz w:val="24"/>
          <w:highlight w:val="none"/>
        </w:rPr>
        <w:tab/>
      </w:r>
      <w:r>
        <w:rPr>
          <w:rFonts w:hint="eastAsia" w:ascii="宋体" w:hAnsi="宋体" w:cs="宋体"/>
          <w:color w:val="auto"/>
          <w:sz w:val="24"/>
          <w:highlight w:val="none"/>
        </w:rPr>
        <w:t>0.2ml*96，铝合金模块</w:t>
      </w:r>
      <w:r>
        <w:rPr>
          <w:rFonts w:hint="eastAsia" w:ascii="宋体" w:hAnsi="宋体" w:cs="宋体"/>
          <w:color w:val="auto"/>
          <w:sz w:val="24"/>
          <w:highlight w:val="none"/>
        </w:rPr>
        <w:tab/>
      </w:r>
      <w:r>
        <w:rPr>
          <w:rFonts w:hint="eastAsia" w:ascii="宋体" w:hAnsi="宋体" w:cs="宋体"/>
          <w:color w:val="auto"/>
          <w:sz w:val="24"/>
          <w:highlight w:val="none"/>
        </w:rPr>
        <w:t>384，铝合金模块</w:t>
      </w:r>
      <w:r>
        <w:rPr>
          <w:rFonts w:hint="eastAsia" w:ascii="宋体" w:hAnsi="宋体" w:cs="宋体"/>
          <w:color w:val="auto"/>
          <w:sz w:val="24"/>
          <w:highlight w:val="none"/>
        </w:rPr>
        <w:tab/>
      </w:r>
      <w:r>
        <w:rPr>
          <w:rFonts w:hint="eastAsia" w:ascii="宋体" w:hAnsi="宋体" w:cs="宋体"/>
          <w:color w:val="auto"/>
          <w:sz w:val="24"/>
          <w:highlight w:val="none"/>
        </w:rPr>
        <w:t>原位或平板模块；</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2.有效孔位</w:t>
      </w:r>
      <w:r>
        <w:rPr>
          <w:rFonts w:hint="eastAsia" w:ascii="宋体" w:hAnsi="宋体" w:cs="宋体"/>
          <w:color w:val="auto"/>
          <w:sz w:val="24"/>
          <w:highlight w:val="none"/>
        </w:rPr>
        <w:tab/>
      </w:r>
      <w:r>
        <w:rPr>
          <w:rFonts w:hint="eastAsia" w:ascii="宋体" w:hAnsi="宋体" w:cs="宋体"/>
          <w:color w:val="auto"/>
          <w:sz w:val="24"/>
          <w:highlight w:val="none"/>
        </w:rPr>
        <w:t>96孔（单管，8连管，12连管，无裙板，半裙板）</w:t>
      </w:r>
      <w:r>
        <w:rPr>
          <w:rFonts w:hint="eastAsia" w:ascii="宋体" w:hAnsi="宋体" w:cs="宋体"/>
          <w:color w:val="auto"/>
          <w:sz w:val="24"/>
          <w:highlight w:val="none"/>
        </w:rPr>
        <w:tab/>
      </w:r>
      <w:r>
        <w:rPr>
          <w:rFonts w:hint="eastAsia" w:ascii="宋体" w:hAnsi="宋体" w:cs="宋体"/>
          <w:color w:val="auto"/>
          <w:sz w:val="24"/>
          <w:highlight w:val="none"/>
        </w:rPr>
        <w:t>384孔板</w:t>
      </w:r>
      <w:r>
        <w:rPr>
          <w:rFonts w:hint="eastAsia" w:ascii="宋体" w:hAnsi="宋体" w:cs="宋体"/>
          <w:color w:val="auto"/>
          <w:sz w:val="24"/>
          <w:highlight w:val="none"/>
        </w:rPr>
        <w:tab/>
      </w:r>
      <w:r>
        <w:rPr>
          <w:rFonts w:hint="eastAsia" w:ascii="宋体" w:hAnsi="宋体" w:cs="宋体"/>
          <w:color w:val="auto"/>
          <w:sz w:val="24"/>
          <w:highlight w:val="none"/>
        </w:rPr>
        <w:t>可定制；</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3.输入电源</w:t>
      </w:r>
      <w:r>
        <w:rPr>
          <w:rFonts w:hint="eastAsia" w:ascii="宋体" w:hAnsi="宋体" w:cs="宋体"/>
          <w:color w:val="auto"/>
          <w:sz w:val="24"/>
          <w:highlight w:val="none"/>
        </w:rPr>
        <w:tab/>
      </w:r>
      <w:r>
        <w:rPr>
          <w:rFonts w:hint="eastAsia" w:ascii="宋体" w:hAnsi="宋体" w:cs="宋体"/>
          <w:color w:val="auto"/>
          <w:sz w:val="24"/>
          <w:highlight w:val="none"/>
        </w:rPr>
        <w:t>220V～50Hz，600VA（海外型：100-240V～50/60Hz，600VA）；</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4.外形尺寸L*W*H</w:t>
      </w:r>
      <w:r>
        <w:rPr>
          <w:rFonts w:hint="eastAsia" w:ascii="宋体" w:hAnsi="宋体" w:cs="宋体"/>
          <w:color w:val="auto"/>
          <w:sz w:val="24"/>
          <w:highlight w:val="none"/>
        </w:rPr>
        <w:tab/>
      </w:r>
      <w:r>
        <w:rPr>
          <w:rFonts w:hint="eastAsia" w:ascii="宋体" w:hAnsi="宋体" w:cs="宋体"/>
          <w:color w:val="auto"/>
          <w:sz w:val="24"/>
          <w:highlight w:val="none"/>
        </w:rPr>
        <w:t>427*288*227 mm（允许±1%偏离）；</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5.重量Max</w:t>
      </w:r>
      <w:r>
        <w:rPr>
          <w:rFonts w:hint="eastAsia" w:ascii="宋体" w:hAnsi="宋体" w:cs="宋体"/>
          <w:color w:val="auto"/>
          <w:sz w:val="24"/>
          <w:highlight w:val="none"/>
        </w:rPr>
        <w:tab/>
      </w:r>
      <w:r>
        <w:rPr>
          <w:rFonts w:hint="eastAsia" w:ascii="宋体" w:hAnsi="宋体" w:cs="宋体"/>
          <w:color w:val="auto"/>
          <w:sz w:val="24"/>
          <w:highlight w:val="none"/>
        </w:rPr>
        <w:t>9.6kg；</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6.温度准确度≤±0.1℃ ；</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7.模块控温精度 ≤±0.1℃；</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8.模块温度均匀性 ≤±0.3℃ @55℃；</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9.最大升温速率≥5℃/s；</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10.最大降温速率≥5℃/s；</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11.模块控温技术3路Peltier独立控温+分布式模块温度补偿</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12.模块温度控制模式Tube（试剂ul设置）/ Block；</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13.模块温度设置范围0-105℃；</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14.热盖温度设置范围30-105℃，ON/OFF（热盖可开启和关闭）；</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15.智能热盖设置功能：有，可选根据程序自动设定热盖温度；</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16. 温度曲线实时显示</w:t>
      </w:r>
      <w:r>
        <w:rPr>
          <w:rFonts w:hint="eastAsia" w:ascii="宋体" w:hAnsi="宋体" w:cs="宋体"/>
          <w:color w:val="auto"/>
          <w:sz w:val="24"/>
          <w:highlight w:val="none"/>
        </w:rPr>
        <w:tab/>
      </w:r>
      <w:r>
        <w:rPr>
          <w:rFonts w:hint="eastAsia" w:ascii="宋体" w:hAnsi="宋体" w:cs="宋体"/>
          <w:color w:val="auto"/>
          <w:sz w:val="24"/>
          <w:highlight w:val="none"/>
        </w:rPr>
        <w:t>有,实时显示模块及热盖的实际温度</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17.温度梯度功能/范围/跨度：12列梯度/30-99℃/1-42℃，只需设置最左、最右列温度，其他列温度自动计算赋予；</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18.最近运行文件列表：有；</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19.USB接口：有，用户文件一键导入/导出，台间程序交换便捷；U盘软件升级；</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20.显示屏：7〞WVGA 64000色，LED 背光，高灵敏电阻触摸屏；</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21.运行状态的人性化显示：有，动态温色背景、动画运行状态、呼吸灯指示、蜂鸣提示；</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22.多种界面随心切换：极简主界面、程序运行界面、动态曲线界面、工程界面等；</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23.智能抑制非特异性扩增功能：有，程序运行等待热盖恒温过程中模块10℃恒温；</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24.智能试剂温度控制；有，根据设定的反应体系容量进行精准控温；</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25.压盖自适应试管</w:t>
      </w:r>
      <w:r>
        <w:rPr>
          <w:rFonts w:hint="eastAsia" w:ascii="宋体" w:hAnsi="宋体" w:cs="宋体"/>
          <w:color w:val="auto"/>
          <w:sz w:val="24"/>
          <w:highlight w:val="none"/>
        </w:rPr>
        <w:tab/>
      </w:r>
      <w:r>
        <w:rPr>
          <w:rFonts w:hint="eastAsia" w:ascii="宋体" w:hAnsi="宋体" w:cs="宋体"/>
          <w:color w:val="auto"/>
          <w:sz w:val="24"/>
          <w:highlight w:val="none"/>
        </w:rPr>
        <w:t>试管高度自适应（高管、矮管、平顶管、圆顶管等全适应）；</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26.梯度温度同时到达；有；</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27.开机智能自检；有；</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28.故障自诊断及报告；有；</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29.运行结束冷藏功能；有，最低可设定0℃冷藏温度；</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30.总时间/剩余时间预估；有，并图像化显示；</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31.制冷片寿命预警功能；有，根据仪器使用工况对Peltier器件寿命和产品维护进行评估；</w:t>
      </w:r>
    </w:p>
    <w:p>
      <w:pPr>
        <w:tabs>
          <w:tab w:val="left" w:pos="993"/>
          <w:tab w:val="left" w:pos="1135"/>
          <w:tab w:val="left" w:pos="1418"/>
        </w:tabs>
        <w:spacing w:line="460" w:lineRule="exact"/>
        <w:rPr>
          <w:rFonts w:hint="eastAsia" w:ascii="宋体" w:hAnsi="宋体" w:cs="宋体"/>
          <w:color w:val="auto"/>
          <w:sz w:val="24"/>
          <w:highlight w:val="none"/>
        </w:rPr>
      </w:pPr>
      <w:r>
        <w:rPr>
          <w:rFonts w:hint="eastAsia" w:ascii="宋体" w:hAnsi="宋体" w:cs="宋体"/>
          <w:color w:val="auto"/>
          <w:sz w:val="24"/>
          <w:highlight w:val="none"/>
        </w:rPr>
        <w:t>32.屏幕触摸点校准功能；有。</w:t>
      </w:r>
    </w:p>
    <w:p>
      <w:pPr>
        <w:tabs>
          <w:tab w:val="left" w:pos="993"/>
          <w:tab w:val="left" w:pos="1135"/>
          <w:tab w:val="left" w:pos="1418"/>
        </w:tabs>
        <w:spacing w:line="460" w:lineRule="exact"/>
        <w:rPr>
          <w:rFonts w:ascii="宋体" w:hAnsi="宋体" w:cs="宋体"/>
          <w:color w:val="auto"/>
          <w:sz w:val="24"/>
          <w:highlight w:val="none"/>
          <w:lang w:bidi="ar"/>
        </w:rPr>
      </w:pPr>
    </w:p>
    <w:p>
      <w:pPr>
        <w:tabs>
          <w:tab w:val="left" w:pos="993"/>
          <w:tab w:val="left" w:pos="1135"/>
          <w:tab w:val="left" w:pos="1418"/>
        </w:tabs>
        <w:spacing w:line="460" w:lineRule="exact"/>
        <w:rPr>
          <w:rFonts w:ascii="宋体" w:hAnsi="宋体" w:cs="宋体"/>
          <w:b/>
          <w:bCs/>
          <w:color w:val="auto"/>
          <w:sz w:val="24"/>
          <w:highlight w:val="none"/>
          <w:lang w:bidi="ar"/>
        </w:rPr>
      </w:pPr>
      <w:r>
        <w:rPr>
          <w:rFonts w:hint="eastAsia" w:ascii="宋体" w:hAnsi="宋体" w:cs="宋体"/>
          <w:b/>
          <w:bCs/>
          <w:color w:val="auto"/>
          <w:sz w:val="24"/>
          <w:highlight w:val="none"/>
          <w:lang w:bidi="ar"/>
        </w:rPr>
        <w:t>品目号1-2双槽PCR仪</w:t>
      </w:r>
    </w:p>
    <w:p>
      <w:pPr>
        <w:spacing w:line="460" w:lineRule="exact"/>
        <w:rPr>
          <w:rFonts w:ascii="宋体" w:hAnsi="宋体" w:cs="宋体"/>
          <w:color w:val="auto"/>
          <w:sz w:val="24"/>
          <w:highlight w:val="none"/>
        </w:rPr>
      </w:pPr>
      <w:r>
        <w:rPr>
          <w:rFonts w:hint="eastAsia" w:ascii="宋体" w:hAnsi="宋体" w:cs="宋体"/>
          <w:color w:val="auto"/>
          <w:sz w:val="24"/>
          <w:highlight w:val="none"/>
        </w:rPr>
        <w:t>1.模块规格：2×48孔×0.2ml，铝合金模块；</w:t>
      </w:r>
    </w:p>
    <w:p>
      <w:pPr>
        <w:spacing w:line="460" w:lineRule="exact"/>
        <w:rPr>
          <w:rFonts w:ascii="宋体" w:hAnsi="宋体" w:cs="宋体"/>
          <w:color w:val="auto"/>
          <w:sz w:val="24"/>
          <w:highlight w:val="none"/>
        </w:rPr>
      </w:pPr>
      <w:r>
        <w:rPr>
          <w:rFonts w:hint="eastAsia" w:ascii="宋体" w:hAnsi="宋体" w:cs="宋体"/>
          <w:color w:val="auto"/>
          <w:sz w:val="24"/>
          <w:highlight w:val="none"/>
        </w:rPr>
        <w:t>2.有效孔位：2</w:t>
      </w:r>
      <w:bookmarkStart w:id="10" w:name="_Hlk97885423"/>
      <w:r>
        <w:rPr>
          <w:rFonts w:hint="eastAsia" w:ascii="宋体" w:hAnsi="宋体" w:cs="宋体"/>
          <w:color w:val="auto"/>
          <w:sz w:val="24"/>
          <w:highlight w:val="none"/>
        </w:rPr>
        <w:t>×</w:t>
      </w:r>
      <w:bookmarkEnd w:id="10"/>
      <w:r>
        <w:rPr>
          <w:rFonts w:hint="eastAsia" w:ascii="宋体" w:hAnsi="宋体" w:cs="宋体"/>
          <w:color w:val="auto"/>
          <w:sz w:val="24"/>
          <w:highlight w:val="none"/>
        </w:rPr>
        <w:t>48孔(单管,8连管,无裙板,半裙板)；</w:t>
      </w:r>
    </w:p>
    <w:p>
      <w:pPr>
        <w:spacing w:line="460" w:lineRule="exact"/>
        <w:rPr>
          <w:rFonts w:ascii="宋体" w:hAnsi="宋体" w:cs="宋体"/>
          <w:color w:val="auto"/>
          <w:sz w:val="24"/>
          <w:highlight w:val="none"/>
        </w:rPr>
      </w:pPr>
      <w:r>
        <w:rPr>
          <w:rFonts w:hint="eastAsia" w:ascii="宋体" w:hAnsi="宋体" w:cs="宋体"/>
          <w:color w:val="auto"/>
          <w:sz w:val="24"/>
          <w:highlight w:val="none"/>
        </w:rPr>
        <w:t>3.输入电源：220V～50Hz，600VA（海外型：100-240V～50/60Hz，600VA）；</w:t>
      </w:r>
    </w:p>
    <w:p>
      <w:pPr>
        <w:spacing w:line="460" w:lineRule="exact"/>
        <w:rPr>
          <w:rFonts w:ascii="宋体" w:hAnsi="宋体" w:cs="宋体"/>
          <w:color w:val="auto"/>
          <w:sz w:val="24"/>
          <w:highlight w:val="none"/>
        </w:rPr>
      </w:pPr>
      <w:r>
        <w:rPr>
          <w:rFonts w:hint="eastAsia" w:ascii="宋体" w:hAnsi="宋体" w:cs="宋体"/>
          <w:color w:val="auto"/>
          <w:sz w:val="24"/>
          <w:highlight w:val="none"/>
        </w:rPr>
        <w:t>4.外形尺寸：L×W×H</w:t>
      </w:r>
      <w:r>
        <w:rPr>
          <w:rFonts w:hint="eastAsia" w:ascii="宋体" w:hAnsi="宋体" w:cs="宋体"/>
          <w:color w:val="auto"/>
          <w:sz w:val="24"/>
          <w:highlight w:val="none"/>
        </w:rPr>
        <w:tab/>
      </w:r>
      <w:r>
        <w:rPr>
          <w:rFonts w:hint="eastAsia" w:ascii="宋体" w:hAnsi="宋体" w:cs="宋体"/>
          <w:color w:val="auto"/>
          <w:sz w:val="24"/>
          <w:highlight w:val="none"/>
        </w:rPr>
        <w:t>427×288×227 mm（允许±1%偏离）；</w:t>
      </w:r>
    </w:p>
    <w:p>
      <w:pPr>
        <w:spacing w:line="460" w:lineRule="exact"/>
        <w:rPr>
          <w:rFonts w:ascii="宋体" w:hAnsi="宋体" w:cs="宋体"/>
          <w:color w:val="auto"/>
          <w:sz w:val="24"/>
          <w:highlight w:val="none"/>
        </w:rPr>
      </w:pPr>
      <w:r>
        <w:rPr>
          <w:rFonts w:hint="eastAsia" w:ascii="宋体" w:hAnsi="宋体" w:cs="宋体"/>
          <w:color w:val="auto"/>
          <w:sz w:val="24"/>
          <w:highlight w:val="none"/>
        </w:rPr>
        <w:t>5.重量Max：≤9.5kg；</w:t>
      </w:r>
    </w:p>
    <w:p>
      <w:pPr>
        <w:spacing w:line="460" w:lineRule="exact"/>
        <w:rPr>
          <w:rFonts w:ascii="宋体" w:hAnsi="宋体" w:cs="宋体"/>
          <w:color w:val="auto"/>
          <w:sz w:val="24"/>
          <w:highlight w:val="none"/>
        </w:rPr>
      </w:pPr>
      <w:r>
        <w:rPr>
          <w:rFonts w:hint="eastAsia" w:ascii="宋体" w:hAnsi="宋体" w:cs="宋体"/>
          <w:color w:val="auto"/>
          <w:sz w:val="24"/>
          <w:highlight w:val="none"/>
        </w:rPr>
        <w:t>6.温度准确度：≤±0.1℃；</w:t>
      </w:r>
    </w:p>
    <w:p>
      <w:pPr>
        <w:spacing w:line="460" w:lineRule="exact"/>
        <w:rPr>
          <w:rFonts w:ascii="宋体" w:hAnsi="宋体" w:cs="宋体"/>
          <w:color w:val="auto"/>
          <w:sz w:val="24"/>
          <w:highlight w:val="none"/>
        </w:rPr>
      </w:pPr>
      <w:r>
        <w:rPr>
          <w:rFonts w:hint="eastAsia" w:ascii="宋体" w:hAnsi="宋体" w:cs="宋体"/>
          <w:color w:val="auto"/>
          <w:sz w:val="24"/>
          <w:highlight w:val="none"/>
        </w:rPr>
        <w:t>7.模块控温精度：≤±0.1℃；</w:t>
      </w:r>
    </w:p>
    <w:p>
      <w:pPr>
        <w:spacing w:line="460" w:lineRule="exact"/>
        <w:rPr>
          <w:rFonts w:ascii="宋体" w:hAnsi="宋体" w:cs="宋体"/>
          <w:color w:val="auto"/>
          <w:sz w:val="24"/>
          <w:highlight w:val="none"/>
        </w:rPr>
      </w:pPr>
      <w:r>
        <w:rPr>
          <w:rFonts w:hint="eastAsia" w:ascii="宋体" w:hAnsi="宋体" w:cs="宋体"/>
          <w:color w:val="auto"/>
          <w:sz w:val="24"/>
          <w:highlight w:val="none"/>
        </w:rPr>
        <w:t>8.模块温度均匀性：≤±0.3℃ @55℃；</w:t>
      </w:r>
    </w:p>
    <w:p>
      <w:pPr>
        <w:spacing w:line="460" w:lineRule="exact"/>
        <w:rPr>
          <w:rFonts w:ascii="宋体" w:hAnsi="宋体" w:cs="宋体"/>
          <w:color w:val="auto"/>
          <w:sz w:val="24"/>
          <w:highlight w:val="none"/>
        </w:rPr>
      </w:pPr>
      <w:r>
        <w:rPr>
          <w:rFonts w:hint="eastAsia" w:ascii="宋体" w:hAnsi="宋体" w:cs="宋体"/>
          <w:color w:val="auto"/>
          <w:sz w:val="24"/>
          <w:highlight w:val="none"/>
        </w:rPr>
        <w:t>9.最大升温速率：≥5℃/s；</w:t>
      </w:r>
    </w:p>
    <w:p>
      <w:pPr>
        <w:spacing w:line="460" w:lineRule="exact"/>
        <w:rPr>
          <w:rFonts w:ascii="宋体" w:hAnsi="宋体" w:cs="宋体"/>
          <w:color w:val="auto"/>
          <w:sz w:val="24"/>
          <w:highlight w:val="none"/>
        </w:rPr>
      </w:pPr>
      <w:r>
        <w:rPr>
          <w:rFonts w:hint="eastAsia" w:ascii="宋体" w:hAnsi="宋体" w:cs="宋体"/>
          <w:color w:val="auto"/>
          <w:sz w:val="24"/>
          <w:highlight w:val="none"/>
        </w:rPr>
        <w:t>10.最大降温速率：≥5℃/s；</w:t>
      </w:r>
    </w:p>
    <w:p>
      <w:pPr>
        <w:spacing w:line="460" w:lineRule="exact"/>
        <w:rPr>
          <w:rFonts w:ascii="宋体" w:hAnsi="宋体" w:cs="宋体"/>
          <w:color w:val="auto"/>
          <w:sz w:val="24"/>
          <w:highlight w:val="none"/>
        </w:rPr>
      </w:pPr>
      <w:r>
        <w:rPr>
          <w:rFonts w:hint="eastAsia" w:ascii="宋体" w:hAnsi="宋体" w:cs="宋体"/>
          <w:color w:val="auto"/>
          <w:sz w:val="24"/>
          <w:highlight w:val="none"/>
        </w:rPr>
        <w:t>11.模块控温技术： Peltier技术；</w:t>
      </w:r>
    </w:p>
    <w:p>
      <w:pPr>
        <w:spacing w:line="460" w:lineRule="exact"/>
        <w:rPr>
          <w:rFonts w:ascii="宋体" w:hAnsi="宋体" w:cs="宋体"/>
          <w:color w:val="auto"/>
          <w:sz w:val="24"/>
          <w:highlight w:val="none"/>
        </w:rPr>
      </w:pPr>
      <w:r>
        <w:rPr>
          <w:rFonts w:hint="eastAsia" w:ascii="宋体" w:hAnsi="宋体" w:cs="宋体"/>
          <w:color w:val="auto"/>
          <w:sz w:val="24"/>
          <w:highlight w:val="none"/>
        </w:rPr>
        <w:t>12.模块温度控制模式：Tube（试剂ul设置）/ Block；</w:t>
      </w:r>
    </w:p>
    <w:p>
      <w:pPr>
        <w:spacing w:line="460" w:lineRule="exact"/>
        <w:rPr>
          <w:rFonts w:ascii="宋体" w:hAnsi="宋体" w:cs="宋体"/>
          <w:color w:val="auto"/>
          <w:sz w:val="24"/>
          <w:highlight w:val="none"/>
        </w:rPr>
      </w:pPr>
      <w:r>
        <w:rPr>
          <w:rFonts w:hint="eastAsia" w:ascii="宋体" w:hAnsi="宋体" w:cs="宋体"/>
          <w:color w:val="auto"/>
          <w:sz w:val="24"/>
          <w:highlight w:val="none"/>
        </w:rPr>
        <w:t>13.模块温度设置范围：0-105℃；</w:t>
      </w:r>
    </w:p>
    <w:p>
      <w:pPr>
        <w:spacing w:line="460" w:lineRule="exact"/>
        <w:rPr>
          <w:rFonts w:ascii="宋体" w:hAnsi="宋体" w:cs="宋体"/>
          <w:color w:val="auto"/>
          <w:sz w:val="24"/>
          <w:highlight w:val="none"/>
        </w:rPr>
      </w:pPr>
      <w:r>
        <w:rPr>
          <w:rFonts w:hint="eastAsia" w:ascii="宋体" w:hAnsi="宋体" w:cs="宋体"/>
          <w:color w:val="auto"/>
          <w:sz w:val="24"/>
          <w:highlight w:val="none"/>
        </w:rPr>
        <w:t>14.热盖温度设置范围：30-105℃，ON/OFF（热盖可开启和关闭）；</w:t>
      </w:r>
    </w:p>
    <w:p>
      <w:pPr>
        <w:spacing w:line="460" w:lineRule="exact"/>
        <w:rPr>
          <w:rFonts w:ascii="宋体" w:hAnsi="宋体" w:cs="宋体"/>
          <w:color w:val="auto"/>
          <w:sz w:val="24"/>
          <w:highlight w:val="none"/>
        </w:rPr>
      </w:pPr>
      <w:r>
        <w:rPr>
          <w:rFonts w:hint="eastAsia" w:ascii="宋体" w:hAnsi="宋体" w:cs="宋体"/>
          <w:color w:val="auto"/>
          <w:sz w:val="24"/>
          <w:highlight w:val="none"/>
        </w:rPr>
        <w:t>15.恒温时间设置范围：1s-9h0m0s，或设为∞表示长时间运行；</w:t>
      </w:r>
    </w:p>
    <w:p>
      <w:pPr>
        <w:spacing w:line="460" w:lineRule="exact"/>
        <w:rPr>
          <w:rFonts w:ascii="宋体" w:hAnsi="宋体" w:cs="宋体"/>
          <w:color w:val="auto"/>
          <w:sz w:val="24"/>
          <w:highlight w:val="none"/>
        </w:rPr>
      </w:pPr>
      <w:r>
        <w:rPr>
          <w:rFonts w:hint="eastAsia" w:ascii="宋体" w:hAnsi="宋体" w:cs="宋体"/>
          <w:color w:val="auto"/>
          <w:sz w:val="24"/>
          <w:highlight w:val="none"/>
        </w:rPr>
        <w:t>16.智能热盖设置功能：有，根据程序自动设定热盖温度；</w:t>
      </w:r>
    </w:p>
    <w:p>
      <w:pPr>
        <w:spacing w:line="460" w:lineRule="exact"/>
        <w:rPr>
          <w:rFonts w:ascii="宋体" w:hAnsi="宋体" w:cs="宋体"/>
          <w:color w:val="auto"/>
          <w:sz w:val="24"/>
          <w:highlight w:val="none"/>
        </w:rPr>
      </w:pPr>
      <w:r>
        <w:rPr>
          <w:rFonts w:hint="eastAsia" w:ascii="宋体" w:hAnsi="宋体" w:cs="宋体"/>
          <w:color w:val="auto"/>
          <w:sz w:val="24"/>
          <w:highlight w:val="none"/>
        </w:rPr>
        <w:t>17.温度曲线实时显示：有,实时显示模块及热盖的实际温度；</w:t>
      </w:r>
    </w:p>
    <w:p>
      <w:pPr>
        <w:spacing w:line="460" w:lineRule="exact"/>
        <w:rPr>
          <w:rFonts w:ascii="宋体" w:hAnsi="宋体" w:cs="宋体"/>
          <w:color w:val="auto"/>
          <w:sz w:val="24"/>
          <w:highlight w:val="none"/>
        </w:rPr>
      </w:pPr>
      <w:r>
        <w:rPr>
          <w:rFonts w:hint="eastAsia" w:ascii="宋体" w:hAnsi="宋体" w:cs="宋体"/>
          <w:color w:val="auto"/>
          <w:sz w:val="24"/>
          <w:highlight w:val="none"/>
        </w:rPr>
        <w:t>18.温度递变：有，±0.1-±10℃/Cycle；</w:t>
      </w:r>
    </w:p>
    <w:p>
      <w:pPr>
        <w:spacing w:line="460" w:lineRule="exact"/>
        <w:rPr>
          <w:rFonts w:ascii="宋体" w:hAnsi="宋体" w:cs="宋体"/>
          <w:color w:val="auto"/>
          <w:sz w:val="24"/>
          <w:highlight w:val="none"/>
        </w:rPr>
      </w:pPr>
      <w:r>
        <w:rPr>
          <w:rFonts w:hint="eastAsia" w:ascii="宋体" w:hAnsi="宋体" w:cs="宋体"/>
          <w:color w:val="auto"/>
          <w:sz w:val="24"/>
          <w:highlight w:val="none"/>
        </w:rPr>
        <w:t>19.时间递变：有，±1-±120s/Cycle；</w:t>
      </w:r>
    </w:p>
    <w:p>
      <w:pPr>
        <w:spacing w:line="460" w:lineRule="exact"/>
        <w:rPr>
          <w:rFonts w:ascii="宋体" w:hAnsi="宋体" w:cs="宋体"/>
          <w:color w:val="auto"/>
          <w:sz w:val="24"/>
          <w:highlight w:val="none"/>
        </w:rPr>
      </w:pPr>
      <w:r>
        <w:rPr>
          <w:rFonts w:hint="eastAsia" w:ascii="宋体" w:hAnsi="宋体" w:cs="宋体"/>
          <w:color w:val="auto"/>
          <w:sz w:val="24"/>
          <w:highlight w:val="none"/>
        </w:rPr>
        <w:t>20.暂停：有，自动暂停并恒温在该步骤等待用户操作；</w:t>
      </w:r>
    </w:p>
    <w:p>
      <w:pPr>
        <w:spacing w:line="460" w:lineRule="exact"/>
        <w:rPr>
          <w:rFonts w:ascii="宋体" w:hAnsi="宋体" w:cs="宋体"/>
          <w:color w:val="auto"/>
          <w:sz w:val="24"/>
          <w:highlight w:val="none"/>
        </w:rPr>
      </w:pPr>
      <w:r>
        <w:rPr>
          <w:rFonts w:hint="eastAsia" w:ascii="宋体" w:hAnsi="宋体" w:cs="宋体"/>
          <w:color w:val="auto"/>
          <w:sz w:val="24"/>
          <w:highlight w:val="none"/>
        </w:rPr>
        <w:t>21.循环次数设置范围：1-150X，可设置非交叉双重嵌套循环；</w:t>
      </w:r>
    </w:p>
    <w:p>
      <w:pPr>
        <w:spacing w:line="460" w:lineRule="exact"/>
        <w:rPr>
          <w:rFonts w:ascii="宋体" w:hAnsi="宋体" w:cs="宋体"/>
          <w:color w:val="auto"/>
          <w:sz w:val="24"/>
          <w:highlight w:val="none"/>
        </w:rPr>
      </w:pPr>
      <w:r>
        <w:rPr>
          <w:rFonts w:hint="eastAsia" w:ascii="宋体" w:hAnsi="宋体" w:cs="宋体"/>
          <w:color w:val="auto"/>
          <w:sz w:val="24"/>
          <w:highlight w:val="none"/>
        </w:rPr>
        <w:t>22.升降温速率设定：有，0.1-3.5℃/s,等速率变温；</w:t>
      </w:r>
    </w:p>
    <w:p>
      <w:pPr>
        <w:spacing w:line="460" w:lineRule="exact"/>
        <w:rPr>
          <w:rFonts w:ascii="宋体" w:hAnsi="宋体" w:cs="宋体"/>
          <w:color w:val="auto"/>
          <w:sz w:val="24"/>
          <w:highlight w:val="none"/>
        </w:rPr>
      </w:pPr>
      <w:r>
        <w:rPr>
          <w:rFonts w:hint="eastAsia" w:ascii="宋体" w:hAnsi="宋体" w:cs="宋体"/>
          <w:color w:val="auto"/>
          <w:sz w:val="24"/>
          <w:highlight w:val="none"/>
        </w:rPr>
        <w:t>23.文件STEP节：1-100节；</w:t>
      </w:r>
    </w:p>
    <w:p>
      <w:pPr>
        <w:spacing w:line="460" w:lineRule="exact"/>
        <w:rPr>
          <w:rFonts w:ascii="宋体" w:hAnsi="宋体" w:cs="宋体"/>
          <w:color w:val="auto"/>
          <w:sz w:val="24"/>
          <w:highlight w:val="none"/>
        </w:rPr>
      </w:pPr>
      <w:r>
        <w:rPr>
          <w:rFonts w:hint="eastAsia" w:ascii="宋体" w:hAnsi="宋体" w:cs="宋体"/>
          <w:color w:val="auto"/>
          <w:sz w:val="24"/>
          <w:highlight w:val="none"/>
        </w:rPr>
        <w:t>24.程序数量：最多1000个文件夹，每个文件夹最多1000个文件（程序）；</w:t>
      </w:r>
    </w:p>
    <w:p>
      <w:pPr>
        <w:spacing w:line="460" w:lineRule="exact"/>
        <w:rPr>
          <w:rFonts w:ascii="宋体" w:hAnsi="宋体" w:cs="宋体"/>
          <w:color w:val="auto"/>
          <w:sz w:val="24"/>
          <w:highlight w:val="none"/>
        </w:rPr>
      </w:pPr>
      <w:r>
        <w:rPr>
          <w:rFonts w:hint="eastAsia" w:ascii="宋体" w:hAnsi="宋体" w:cs="宋体"/>
          <w:color w:val="auto"/>
          <w:sz w:val="24"/>
          <w:highlight w:val="none"/>
        </w:rPr>
        <w:t>25.参数设置智能向导：有，显示参数设置范围和错误时自动警告等；</w:t>
      </w:r>
    </w:p>
    <w:p>
      <w:pPr>
        <w:spacing w:line="460" w:lineRule="exact"/>
        <w:rPr>
          <w:rFonts w:ascii="宋体" w:hAnsi="宋体" w:cs="宋体"/>
          <w:color w:val="auto"/>
          <w:sz w:val="24"/>
          <w:highlight w:val="none"/>
        </w:rPr>
      </w:pPr>
      <w:r>
        <w:rPr>
          <w:rFonts w:hint="eastAsia" w:ascii="宋体" w:hAnsi="宋体" w:cs="宋体"/>
          <w:color w:val="auto"/>
          <w:sz w:val="24"/>
          <w:highlight w:val="none"/>
        </w:rPr>
        <w:t>26.双头独立运行：有，双显示，独立运行；</w:t>
      </w:r>
    </w:p>
    <w:p>
      <w:pPr>
        <w:spacing w:line="460" w:lineRule="exact"/>
        <w:rPr>
          <w:rFonts w:ascii="宋体" w:hAnsi="宋体" w:cs="宋体"/>
          <w:color w:val="auto"/>
          <w:sz w:val="24"/>
          <w:highlight w:val="none"/>
        </w:rPr>
      </w:pPr>
      <w:r>
        <w:rPr>
          <w:rFonts w:hint="eastAsia" w:ascii="宋体" w:hAnsi="宋体" w:cs="宋体"/>
          <w:color w:val="auto"/>
          <w:sz w:val="24"/>
          <w:highlight w:val="none"/>
        </w:rPr>
        <w:t>27.管理员账号：创建用户，设置用户登录密码，软件升级，恢复出厂设置等；</w:t>
      </w:r>
    </w:p>
    <w:p>
      <w:pPr>
        <w:spacing w:line="460" w:lineRule="exact"/>
        <w:rPr>
          <w:rFonts w:ascii="宋体" w:hAnsi="宋体" w:cs="宋体"/>
          <w:color w:val="auto"/>
          <w:sz w:val="24"/>
          <w:highlight w:val="none"/>
        </w:rPr>
      </w:pPr>
      <w:r>
        <w:rPr>
          <w:rFonts w:hint="eastAsia" w:ascii="宋体" w:hAnsi="宋体" w:cs="宋体"/>
          <w:color w:val="auto"/>
          <w:sz w:val="24"/>
          <w:highlight w:val="none"/>
        </w:rPr>
        <w:t>28.游客账号：无需登录密码，快捷操作；</w:t>
      </w:r>
    </w:p>
    <w:p>
      <w:pPr>
        <w:spacing w:line="460" w:lineRule="exact"/>
        <w:rPr>
          <w:rFonts w:ascii="宋体" w:hAnsi="宋体" w:cs="宋体"/>
          <w:color w:val="auto"/>
          <w:sz w:val="24"/>
          <w:highlight w:val="none"/>
        </w:rPr>
      </w:pPr>
      <w:r>
        <w:rPr>
          <w:rFonts w:hint="eastAsia" w:ascii="宋体" w:hAnsi="宋体" w:cs="宋体"/>
          <w:color w:val="auto"/>
          <w:sz w:val="24"/>
          <w:highlight w:val="none"/>
        </w:rPr>
        <w:t>29.用户账号：根据需要自行创建用户账号，文件数据单独保护；</w:t>
      </w:r>
    </w:p>
    <w:p>
      <w:pPr>
        <w:spacing w:line="460" w:lineRule="exact"/>
        <w:rPr>
          <w:rFonts w:ascii="宋体" w:hAnsi="宋体" w:cs="宋体"/>
          <w:color w:val="auto"/>
          <w:sz w:val="24"/>
          <w:highlight w:val="none"/>
        </w:rPr>
      </w:pPr>
      <w:r>
        <w:rPr>
          <w:rFonts w:hint="eastAsia" w:ascii="宋体" w:hAnsi="宋体" w:cs="宋体"/>
          <w:color w:val="auto"/>
          <w:sz w:val="24"/>
          <w:highlight w:val="none"/>
        </w:rPr>
        <w:t>30.程序只读保护：有，文件名后缀#令程序只读；</w:t>
      </w:r>
    </w:p>
    <w:p>
      <w:pPr>
        <w:spacing w:line="460" w:lineRule="exact"/>
        <w:rPr>
          <w:rFonts w:ascii="宋体" w:hAnsi="宋体" w:cs="宋体"/>
          <w:color w:val="auto"/>
          <w:sz w:val="24"/>
          <w:highlight w:val="none"/>
        </w:rPr>
      </w:pPr>
      <w:r>
        <w:rPr>
          <w:rFonts w:hint="eastAsia" w:ascii="宋体" w:hAnsi="宋体" w:cs="宋体"/>
          <w:color w:val="auto"/>
          <w:sz w:val="24"/>
          <w:highlight w:val="none"/>
        </w:rPr>
        <w:t>31.运行日志功能：有，包括运行程序，运行时间，过程动作</w:t>
      </w:r>
    </w:p>
    <w:p>
      <w:pPr>
        <w:spacing w:line="460" w:lineRule="exact"/>
        <w:rPr>
          <w:rFonts w:ascii="宋体" w:hAnsi="宋体" w:cs="宋体"/>
          <w:color w:val="auto"/>
          <w:sz w:val="24"/>
          <w:highlight w:val="none"/>
        </w:rPr>
      </w:pPr>
      <w:r>
        <w:rPr>
          <w:rFonts w:hint="eastAsia" w:ascii="宋体" w:hAnsi="宋体" w:cs="宋体"/>
          <w:color w:val="auto"/>
          <w:sz w:val="24"/>
          <w:highlight w:val="none"/>
        </w:rPr>
        <w:t>32.最近运行文件列表：有；</w:t>
      </w:r>
    </w:p>
    <w:p>
      <w:pPr>
        <w:spacing w:line="460" w:lineRule="exact"/>
        <w:rPr>
          <w:rFonts w:ascii="宋体" w:hAnsi="宋体" w:cs="宋体"/>
          <w:color w:val="auto"/>
          <w:sz w:val="24"/>
          <w:highlight w:val="none"/>
        </w:rPr>
      </w:pPr>
      <w:r>
        <w:rPr>
          <w:rFonts w:hint="eastAsia" w:ascii="宋体" w:hAnsi="宋体" w:cs="宋体"/>
          <w:color w:val="auto"/>
          <w:sz w:val="24"/>
          <w:highlight w:val="none"/>
        </w:rPr>
        <w:t>33.运行时可编辑其它程序：有；</w:t>
      </w:r>
    </w:p>
    <w:p>
      <w:pPr>
        <w:spacing w:line="460" w:lineRule="exact"/>
        <w:rPr>
          <w:rFonts w:ascii="宋体" w:hAnsi="宋体" w:cs="宋体"/>
          <w:color w:val="auto"/>
          <w:sz w:val="24"/>
          <w:highlight w:val="none"/>
        </w:rPr>
      </w:pPr>
      <w:r>
        <w:rPr>
          <w:rFonts w:hint="eastAsia" w:ascii="宋体" w:hAnsi="宋体" w:cs="宋体"/>
          <w:color w:val="auto"/>
          <w:sz w:val="24"/>
          <w:highlight w:val="none"/>
        </w:rPr>
        <w:t>34.程序模板：用户可编辑的模板程序；</w:t>
      </w:r>
    </w:p>
    <w:p>
      <w:pPr>
        <w:spacing w:line="460" w:lineRule="exact"/>
        <w:rPr>
          <w:rFonts w:ascii="宋体" w:hAnsi="宋体" w:cs="宋体"/>
          <w:color w:val="auto"/>
          <w:sz w:val="24"/>
          <w:highlight w:val="none"/>
        </w:rPr>
      </w:pPr>
      <w:r>
        <w:rPr>
          <w:rFonts w:hint="eastAsia" w:ascii="宋体" w:hAnsi="宋体" w:cs="宋体"/>
          <w:color w:val="auto"/>
          <w:sz w:val="24"/>
          <w:highlight w:val="none"/>
        </w:rPr>
        <w:t>35.USB接口：有，用户文件一键导入/导出，台间程序交换便捷；U盘软件升级；</w:t>
      </w:r>
    </w:p>
    <w:p>
      <w:pPr>
        <w:spacing w:line="460" w:lineRule="exact"/>
        <w:rPr>
          <w:rFonts w:ascii="宋体" w:hAnsi="宋体" w:cs="宋体"/>
          <w:color w:val="auto"/>
          <w:sz w:val="24"/>
          <w:highlight w:val="none"/>
        </w:rPr>
      </w:pPr>
      <w:r>
        <w:rPr>
          <w:rFonts w:hint="eastAsia" w:ascii="宋体" w:hAnsi="宋体" w:cs="宋体"/>
          <w:color w:val="auto"/>
          <w:sz w:val="24"/>
          <w:highlight w:val="none"/>
        </w:rPr>
        <w:t>36.显示屏：7〞WVGA 64000色，LED 背光，高灵敏电阻触摸屏；</w:t>
      </w:r>
    </w:p>
    <w:p>
      <w:pPr>
        <w:spacing w:line="460" w:lineRule="exact"/>
        <w:rPr>
          <w:rFonts w:ascii="宋体" w:hAnsi="宋体" w:cs="宋体"/>
          <w:color w:val="auto"/>
          <w:sz w:val="24"/>
          <w:highlight w:val="none"/>
        </w:rPr>
      </w:pPr>
      <w:r>
        <w:rPr>
          <w:rFonts w:hint="eastAsia" w:ascii="宋体" w:hAnsi="宋体" w:cs="宋体"/>
          <w:color w:val="auto"/>
          <w:sz w:val="24"/>
          <w:highlight w:val="none"/>
        </w:rPr>
        <w:t>37.运行状态的人性化显示：有，动态温色背景、动画运行状态、呼吸灯指示、蜂鸣提示；</w:t>
      </w:r>
    </w:p>
    <w:p>
      <w:pPr>
        <w:spacing w:line="460" w:lineRule="exact"/>
        <w:rPr>
          <w:rFonts w:ascii="宋体" w:hAnsi="宋体" w:cs="宋体"/>
          <w:color w:val="auto"/>
          <w:sz w:val="24"/>
          <w:highlight w:val="none"/>
        </w:rPr>
      </w:pPr>
      <w:r>
        <w:rPr>
          <w:rFonts w:hint="eastAsia" w:ascii="宋体" w:hAnsi="宋体" w:cs="宋体"/>
          <w:color w:val="auto"/>
          <w:sz w:val="24"/>
          <w:highlight w:val="none"/>
        </w:rPr>
        <w:t>38.界面锁定功能：对于大批量用户，为了防止运行中被别人误操作或人为中止，操作者可以用密码锁定屏幕，此时屏幕对任何操作不起作用，直到解锁；</w:t>
      </w:r>
    </w:p>
    <w:p>
      <w:pPr>
        <w:spacing w:line="460" w:lineRule="exact"/>
        <w:rPr>
          <w:rFonts w:ascii="宋体" w:hAnsi="宋体" w:cs="宋体"/>
          <w:color w:val="auto"/>
          <w:sz w:val="24"/>
          <w:highlight w:val="none"/>
        </w:rPr>
      </w:pPr>
      <w:r>
        <w:rPr>
          <w:rFonts w:hint="eastAsia" w:ascii="宋体" w:hAnsi="宋体" w:cs="宋体"/>
          <w:color w:val="auto"/>
          <w:sz w:val="24"/>
          <w:highlight w:val="none"/>
        </w:rPr>
        <w:t>39.多种界面随心切换：极简主界面、程序运行界面、动态曲线界面、工程界面等；</w:t>
      </w:r>
    </w:p>
    <w:p>
      <w:pPr>
        <w:spacing w:line="460" w:lineRule="exact"/>
        <w:rPr>
          <w:rFonts w:ascii="宋体" w:hAnsi="宋体" w:cs="宋体"/>
          <w:color w:val="auto"/>
          <w:sz w:val="24"/>
          <w:highlight w:val="none"/>
        </w:rPr>
      </w:pPr>
      <w:r>
        <w:rPr>
          <w:rFonts w:hint="eastAsia" w:ascii="宋体" w:hAnsi="宋体" w:cs="宋体"/>
          <w:color w:val="auto"/>
          <w:sz w:val="24"/>
          <w:highlight w:val="none"/>
        </w:rPr>
        <w:t>40.智能抑制非特异性扩增功能：有，程序运行等待热盖恒温过程中模块10℃恒温；</w:t>
      </w:r>
    </w:p>
    <w:p>
      <w:pPr>
        <w:spacing w:line="460" w:lineRule="exact"/>
        <w:rPr>
          <w:rFonts w:ascii="宋体" w:hAnsi="宋体" w:cs="宋体"/>
          <w:color w:val="auto"/>
          <w:sz w:val="24"/>
          <w:highlight w:val="none"/>
        </w:rPr>
      </w:pPr>
      <w:r>
        <w:rPr>
          <w:rFonts w:hint="eastAsia" w:ascii="宋体" w:hAnsi="宋体" w:cs="宋体"/>
          <w:color w:val="auto"/>
          <w:sz w:val="24"/>
          <w:highlight w:val="none"/>
        </w:rPr>
        <w:t>41.智能试剂温度控制：有，根据设定的反应体系容量进行精准控温；</w:t>
      </w:r>
    </w:p>
    <w:p>
      <w:pPr>
        <w:spacing w:line="460" w:lineRule="exact"/>
        <w:rPr>
          <w:rFonts w:ascii="宋体" w:hAnsi="宋体" w:cs="宋体"/>
          <w:color w:val="auto"/>
          <w:sz w:val="24"/>
          <w:highlight w:val="none"/>
        </w:rPr>
      </w:pPr>
      <w:r>
        <w:rPr>
          <w:rFonts w:hint="eastAsia" w:ascii="宋体" w:hAnsi="宋体" w:cs="宋体"/>
          <w:color w:val="auto"/>
          <w:sz w:val="24"/>
          <w:highlight w:val="none"/>
        </w:rPr>
        <w:t>42.压盖自适应试管：试管高度自适应（高管、矮管、平顶管、圆顶管等全适应）；</w:t>
      </w:r>
    </w:p>
    <w:p>
      <w:pPr>
        <w:spacing w:line="460" w:lineRule="exact"/>
        <w:rPr>
          <w:rFonts w:ascii="宋体" w:hAnsi="宋体" w:cs="宋体"/>
          <w:color w:val="auto"/>
          <w:sz w:val="24"/>
          <w:highlight w:val="none"/>
        </w:rPr>
      </w:pPr>
      <w:r>
        <w:rPr>
          <w:rFonts w:hint="eastAsia" w:ascii="宋体" w:hAnsi="宋体" w:cs="宋体"/>
          <w:color w:val="auto"/>
          <w:sz w:val="24"/>
          <w:highlight w:val="none"/>
        </w:rPr>
        <w:t>43.开机智能自检：有；</w:t>
      </w:r>
    </w:p>
    <w:p>
      <w:pPr>
        <w:spacing w:line="460" w:lineRule="exact"/>
        <w:rPr>
          <w:rFonts w:ascii="宋体" w:hAnsi="宋体" w:cs="宋体"/>
          <w:color w:val="auto"/>
          <w:sz w:val="24"/>
          <w:highlight w:val="none"/>
        </w:rPr>
      </w:pPr>
      <w:r>
        <w:rPr>
          <w:rFonts w:hint="eastAsia" w:ascii="宋体" w:hAnsi="宋体" w:cs="宋体"/>
          <w:color w:val="auto"/>
          <w:sz w:val="24"/>
          <w:highlight w:val="none"/>
        </w:rPr>
        <w:t>44.运行结束自动报告运行状况：有；</w:t>
      </w:r>
    </w:p>
    <w:p>
      <w:pPr>
        <w:spacing w:line="460" w:lineRule="exact"/>
        <w:rPr>
          <w:rFonts w:ascii="宋体" w:hAnsi="宋体" w:cs="宋体"/>
          <w:color w:val="auto"/>
          <w:sz w:val="24"/>
          <w:highlight w:val="none"/>
        </w:rPr>
      </w:pPr>
      <w:r>
        <w:rPr>
          <w:rFonts w:hint="eastAsia" w:ascii="宋体" w:hAnsi="宋体" w:cs="宋体"/>
          <w:color w:val="auto"/>
          <w:sz w:val="24"/>
          <w:highlight w:val="none"/>
        </w:rPr>
        <w:t>45.故障自诊断及报告：有；</w:t>
      </w:r>
    </w:p>
    <w:p>
      <w:pPr>
        <w:spacing w:line="460" w:lineRule="exact"/>
        <w:rPr>
          <w:rFonts w:ascii="宋体" w:hAnsi="宋体" w:cs="宋体"/>
          <w:color w:val="auto"/>
          <w:sz w:val="24"/>
          <w:highlight w:val="none"/>
        </w:rPr>
      </w:pPr>
      <w:r>
        <w:rPr>
          <w:rFonts w:hint="eastAsia" w:ascii="宋体" w:hAnsi="宋体" w:cs="宋体"/>
          <w:color w:val="auto"/>
          <w:sz w:val="24"/>
          <w:highlight w:val="none"/>
        </w:rPr>
        <w:t>46.运行结束冷藏功能：有，最低可设定0℃冷藏温度；</w:t>
      </w:r>
    </w:p>
    <w:p>
      <w:pPr>
        <w:spacing w:line="460" w:lineRule="exact"/>
        <w:rPr>
          <w:rFonts w:ascii="宋体" w:hAnsi="宋体" w:cs="宋体"/>
          <w:color w:val="auto"/>
          <w:sz w:val="24"/>
          <w:highlight w:val="none"/>
        </w:rPr>
      </w:pPr>
      <w:r>
        <w:rPr>
          <w:rFonts w:hint="eastAsia" w:ascii="宋体" w:hAnsi="宋体" w:cs="宋体"/>
          <w:color w:val="auto"/>
          <w:sz w:val="24"/>
          <w:highlight w:val="none"/>
        </w:rPr>
        <w:t>47.断电记忆：有，电源恢复时自动接续运行；</w:t>
      </w:r>
    </w:p>
    <w:p>
      <w:pPr>
        <w:spacing w:line="460" w:lineRule="exact"/>
        <w:rPr>
          <w:rFonts w:ascii="宋体" w:hAnsi="宋体" w:cs="宋体"/>
          <w:color w:val="auto"/>
          <w:sz w:val="24"/>
          <w:highlight w:val="none"/>
        </w:rPr>
      </w:pPr>
      <w:r>
        <w:rPr>
          <w:rFonts w:hint="eastAsia" w:ascii="宋体" w:hAnsi="宋体" w:cs="宋体"/>
          <w:color w:val="auto"/>
          <w:sz w:val="24"/>
          <w:highlight w:val="none"/>
        </w:rPr>
        <w:t>48.总时间/剩余时间预估：有；</w:t>
      </w:r>
    </w:p>
    <w:p>
      <w:pPr>
        <w:spacing w:line="460" w:lineRule="exact"/>
        <w:rPr>
          <w:rFonts w:ascii="宋体" w:hAnsi="宋体" w:cs="宋体"/>
          <w:color w:val="auto"/>
          <w:sz w:val="24"/>
          <w:highlight w:val="none"/>
        </w:rPr>
      </w:pPr>
      <w:r>
        <w:rPr>
          <w:rFonts w:hint="eastAsia" w:ascii="宋体" w:hAnsi="宋体" w:cs="宋体"/>
          <w:color w:val="auto"/>
          <w:sz w:val="24"/>
          <w:highlight w:val="none"/>
        </w:rPr>
        <w:t>49.制冷片工作状态预警：有，自动评估Peltier的健康状态，并给出维保建议；</w:t>
      </w:r>
    </w:p>
    <w:p>
      <w:pPr>
        <w:spacing w:line="460" w:lineRule="exact"/>
        <w:rPr>
          <w:rFonts w:ascii="宋体" w:hAnsi="宋体" w:cs="宋体"/>
          <w:color w:val="auto"/>
          <w:sz w:val="24"/>
          <w:highlight w:val="none"/>
        </w:rPr>
      </w:pPr>
      <w:r>
        <w:rPr>
          <w:rFonts w:hint="eastAsia" w:ascii="宋体" w:hAnsi="宋体" w:cs="宋体"/>
          <w:color w:val="auto"/>
          <w:sz w:val="24"/>
          <w:highlight w:val="none"/>
        </w:rPr>
        <w:t>50.屏幕触摸点校准功能：有；</w:t>
      </w:r>
    </w:p>
    <w:p>
      <w:pPr>
        <w:spacing w:line="460" w:lineRule="exact"/>
        <w:rPr>
          <w:rFonts w:ascii="宋体" w:hAnsi="宋体" w:cs="宋体"/>
          <w:color w:val="auto"/>
          <w:sz w:val="24"/>
          <w:highlight w:val="none"/>
        </w:rPr>
      </w:pPr>
      <w:r>
        <w:rPr>
          <w:rFonts w:hint="eastAsia" w:ascii="宋体" w:hAnsi="宋体" w:cs="宋体"/>
          <w:color w:val="auto"/>
          <w:sz w:val="24"/>
          <w:highlight w:val="none"/>
        </w:rPr>
        <w:t>51.模块温度校准功能：有，（仅限于工厂模式）；</w:t>
      </w:r>
    </w:p>
    <w:p>
      <w:pPr>
        <w:spacing w:line="460" w:lineRule="exact"/>
        <w:rPr>
          <w:rFonts w:ascii="宋体" w:hAnsi="宋体" w:cs="宋体"/>
          <w:color w:val="auto"/>
          <w:sz w:val="24"/>
          <w:highlight w:val="none"/>
        </w:rPr>
      </w:pPr>
      <w:r>
        <w:rPr>
          <w:rFonts w:hint="eastAsia" w:ascii="宋体" w:hAnsi="宋体" w:cs="宋体"/>
          <w:color w:val="auto"/>
          <w:sz w:val="24"/>
          <w:highlight w:val="none"/>
        </w:rPr>
        <w:t>52.按键音：可开启和关闭；</w:t>
      </w:r>
    </w:p>
    <w:p>
      <w:pPr>
        <w:spacing w:line="460" w:lineRule="exact"/>
        <w:rPr>
          <w:rFonts w:ascii="宋体" w:hAnsi="宋体" w:cs="宋体"/>
          <w:color w:val="auto"/>
          <w:sz w:val="24"/>
          <w:highlight w:val="none"/>
        </w:rPr>
      </w:pPr>
      <w:r>
        <w:rPr>
          <w:rFonts w:hint="eastAsia" w:ascii="宋体" w:hAnsi="宋体" w:cs="宋体"/>
          <w:color w:val="auto"/>
          <w:sz w:val="24"/>
          <w:highlight w:val="none"/>
        </w:rPr>
        <w:t>53.屏幕亮度调节：有；</w:t>
      </w:r>
    </w:p>
    <w:p>
      <w:pPr>
        <w:spacing w:line="460" w:lineRule="exact"/>
        <w:rPr>
          <w:rFonts w:ascii="宋体" w:hAnsi="宋体" w:cs="宋体"/>
          <w:color w:val="auto"/>
          <w:sz w:val="24"/>
          <w:highlight w:val="none"/>
        </w:rPr>
      </w:pPr>
      <w:r>
        <w:rPr>
          <w:rFonts w:hint="eastAsia" w:ascii="宋体" w:hAnsi="宋体" w:cs="宋体"/>
          <w:color w:val="auto"/>
          <w:sz w:val="24"/>
          <w:highlight w:val="none"/>
        </w:rPr>
        <w:t>54.系统界面：包含系统设置、自检、恢复出厂设置、软件升级、工程界面（仅限于工厂模式）等；</w:t>
      </w:r>
    </w:p>
    <w:p>
      <w:pPr>
        <w:spacing w:line="460" w:lineRule="exact"/>
        <w:rPr>
          <w:rFonts w:ascii="宋体" w:hAnsi="宋体" w:cs="宋体"/>
          <w:color w:val="auto"/>
          <w:sz w:val="24"/>
          <w:highlight w:val="none"/>
        </w:rPr>
      </w:pPr>
      <w:r>
        <w:rPr>
          <w:rFonts w:hint="eastAsia" w:ascii="宋体" w:hAnsi="宋体" w:cs="宋体"/>
          <w:color w:val="auto"/>
          <w:sz w:val="24"/>
          <w:highlight w:val="none"/>
        </w:rPr>
        <w:t>55.帮助系统：产品特点、软件特色、快速向导、故障代码、联系方式；</w:t>
      </w:r>
    </w:p>
    <w:p>
      <w:pPr>
        <w:spacing w:line="460" w:lineRule="exact"/>
        <w:rPr>
          <w:rFonts w:ascii="宋体" w:hAnsi="宋体" w:cs="宋体"/>
          <w:color w:val="auto"/>
          <w:sz w:val="24"/>
          <w:highlight w:val="none"/>
        </w:rPr>
      </w:pPr>
      <w:r>
        <w:rPr>
          <w:rFonts w:hint="eastAsia" w:ascii="宋体" w:hAnsi="宋体" w:cs="宋体"/>
          <w:color w:val="auto"/>
          <w:sz w:val="24"/>
          <w:highlight w:val="none"/>
        </w:rPr>
        <w:t>56.软件语言：中英文双语；</w:t>
      </w:r>
    </w:p>
    <w:p>
      <w:pPr>
        <w:spacing w:line="460" w:lineRule="exact"/>
        <w:rPr>
          <w:rFonts w:ascii="宋体" w:hAnsi="宋体" w:cs="宋体"/>
          <w:color w:val="auto"/>
          <w:sz w:val="24"/>
          <w:highlight w:val="none"/>
        </w:rPr>
      </w:pPr>
      <w:r>
        <w:rPr>
          <w:rFonts w:hint="eastAsia" w:ascii="宋体" w:hAnsi="宋体" w:cs="宋体"/>
          <w:color w:val="auto"/>
          <w:sz w:val="24"/>
          <w:highlight w:val="none"/>
        </w:rPr>
        <w:t>57.微信服务平台：有，故障时可用手机将故障照片发送至公司微信服务平台。</w:t>
      </w:r>
    </w:p>
    <w:p>
      <w:pPr>
        <w:tabs>
          <w:tab w:val="left" w:pos="993"/>
          <w:tab w:val="left" w:pos="1135"/>
          <w:tab w:val="left" w:pos="1418"/>
        </w:tabs>
        <w:spacing w:line="460" w:lineRule="exact"/>
        <w:rPr>
          <w:rFonts w:ascii="宋体" w:hAnsi="宋体" w:cs="宋体"/>
          <w:color w:val="auto"/>
          <w:sz w:val="24"/>
          <w:highlight w:val="none"/>
          <w:lang w:bidi="ar"/>
        </w:rPr>
      </w:pPr>
    </w:p>
    <w:p>
      <w:pPr>
        <w:tabs>
          <w:tab w:val="left" w:pos="993"/>
          <w:tab w:val="left" w:pos="1135"/>
          <w:tab w:val="left" w:pos="1418"/>
        </w:tabs>
        <w:spacing w:line="460" w:lineRule="exact"/>
        <w:rPr>
          <w:rFonts w:ascii="宋体" w:hAnsi="宋体" w:cs="宋体"/>
          <w:b/>
          <w:bCs/>
          <w:color w:val="auto"/>
          <w:sz w:val="24"/>
          <w:highlight w:val="none"/>
          <w:lang w:bidi="ar"/>
        </w:rPr>
      </w:pPr>
      <w:r>
        <w:rPr>
          <w:rFonts w:hint="eastAsia" w:ascii="宋体" w:hAnsi="宋体" w:cs="宋体"/>
          <w:b/>
          <w:bCs/>
          <w:color w:val="auto"/>
          <w:sz w:val="24"/>
          <w:highlight w:val="none"/>
          <w:lang w:bidi="ar"/>
        </w:rPr>
        <w:t>品目号1-3高速离心机</w:t>
      </w:r>
    </w:p>
    <w:p>
      <w:pPr>
        <w:tabs>
          <w:tab w:val="left" w:pos="993"/>
          <w:tab w:val="left" w:pos="1135"/>
          <w:tab w:val="left" w:pos="1418"/>
        </w:tabs>
        <w:spacing w:line="460" w:lineRule="exac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 最高转速r/min：≥16500</w:t>
      </w:r>
    </w:p>
    <w:p>
      <w:pPr>
        <w:tabs>
          <w:tab w:val="left" w:pos="993"/>
          <w:tab w:val="left" w:pos="1135"/>
          <w:tab w:val="left" w:pos="1418"/>
        </w:tabs>
        <w:spacing w:line="460" w:lineRule="exac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2.操作和设置参数全触摸设计，可同时显示时间、转速、离心力；</w:t>
      </w:r>
    </w:p>
    <w:p>
      <w:pPr>
        <w:tabs>
          <w:tab w:val="left" w:pos="993"/>
          <w:tab w:val="left" w:pos="1135"/>
          <w:tab w:val="left" w:pos="1418"/>
        </w:tabs>
        <w:spacing w:line="460" w:lineRule="exac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 定时范围： 0 ~ 99min59s；</w:t>
      </w:r>
    </w:p>
    <w:p>
      <w:pPr>
        <w:pStyle w:val="2"/>
        <w:spacing w:line="460" w:lineRule="exact"/>
        <w:rPr>
          <w:rFonts w:hint="eastAsia" w:ascii="宋体" w:hAnsi="宋体" w:cs="宋体"/>
          <w:color w:val="auto"/>
          <w:sz w:val="24"/>
          <w:highlight w:val="none"/>
        </w:rPr>
      </w:pPr>
      <w:r>
        <w:rPr>
          <w:rFonts w:hint="eastAsia" w:ascii="宋体" w:hAnsi="宋体" w:cs="宋体"/>
          <w:color w:val="auto"/>
          <w:sz w:val="24"/>
          <w:highlight w:val="none"/>
          <w:shd w:val="clear" w:color="auto" w:fill="FFFFFF"/>
        </w:rPr>
        <w:t>4. 配24×1.5/2.2ml气密性角转子。</w:t>
      </w:r>
    </w:p>
    <w:p>
      <w:pPr>
        <w:widowControl/>
        <w:spacing w:line="460" w:lineRule="atLeast"/>
        <w:jc w:val="left"/>
        <w:rPr>
          <w:rFonts w:ascii="宋体" w:hAnsi="宋体" w:cs="宋体"/>
          <w:b/>
          <w:bCs/>
          <w:color w:val="auto"/>
          <w:kern w:val="0"/>
          <w:sz w:val="24"/>
          <w:highlight w:val="none"/>
        </w:rPr>
      </w:pPr>
      <w:r>
        <w:rPr>
          <w:rStyle w:val="18"/>
          <w:rFonts w:hint="eastAsia" w:ascii="宋体" w:hAnsi="宋体" w:cs="宋体"/>
          <w:color w:val="auto"/>
          <w:sz w:val="24"/>
          <w:highlight w:val="none"/>
          <w:u w:val="single"/>
          <w:shd w:val="clear" w:color="auto" w:fill="FFFFFF"/>
        </w:rPr>
        <w:t>注：品目1-1至品目1-3中所有货物的规格、尺寸为固定值的（指未标注范围值或偏离值），均允许误差±1%。</w:t>
      </w:r>
    </w:p>
    <w:p>
      <w:pPr>
        <w:widowControl/>
        <w:spacing w:line="460" w:lineRule="atLeas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(二)商务要求</w:t>
      </w:r>
    </w:p>
    <w:p>
      <w:pPr>
        <w:pStyle w:val="5"/>
        <w:spacing w:line="46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1.签约时间要求：</w:t>
      </w:r>
      <w:r>
        <w:rPr>
          <w:rFonts w:hint="eastAsia" w:ascii="宋体" w:hAnsi="宋体" w:cs="宋体"/>
          <w:color w:val="auto"/>
          <w:sz w:val="24"/>
          <w:szCs w:val="24"/>
          <w:highlight w:val="none"/>
        </w:rPr>
        <w:t>网竞成交通知书发出15天内，完成采购合同签订。</w:t>
      </w:r>
    </w:p>
    <w:p>
      <w:pPr>
        <w:pStyle w:val="5"/>
        <w:spacing w:line="46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kern w:val="0"/>
          <w:sz w:val="24"/>
          <w:szCs w:val="24"/>
          <w:highlight w:val="none"/>
        </w:rPr>
        <w:t>交付时间：</w:t>
      </w:r>
      <w:r>
        <w:rPr>
          <w:rFonts w:hint="eastAsia" w:ascii="宋体" w:hAnsi="宋体" w:cs="宋体"/>
          <w:color w:val="auto"/>
          <w:kern w:val="0"/>
          <w:sz w:val="24"/>
          <w:szCs w:val="24"/>
          <w:highlight w:val="none"/>
        </w:rPr>
        <w:t>合同签订后 7 天内送货至采购人指定地点并完成安装调试。</w:t>
      </w:r>
    </w:p>
    <w:p>
      <w:pPr>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3.收货地点：</w:t>
      </w:r>
      <w:r>
        <w:rPr>
          <w:rFonts w:hint="eastAsia" w:ascii="宋体" w:hAnsi="宋体" w:cs="宋体"/>
          <w:color w:val="auto"/>
          <w:kern w:val="0"/>
          <w:sz w:val="24"/>
          <w:highlight w:val="none"/>
        </w:rPr>
        <w:t>采购人指定地点。</w:t>
      </w:r>
    </w:p>
    <w:p>
      <w:pPr>
        <w:spacing w:line="360" w:lineRule="auto"/>
        <w:ind w:firstLine="482" w:firstLineChars="200"/>
        <w:rPr>
          <w:rFonts w:ascii="宋体" w:hAnsi="宋体"/>
          <w:bCs/>
          <w:color w:val="auto"/>
          <w:kern w:val="0"/>
          <w:sz w:val="24"/>
          <w:szCs w:val="24"/>
          <w:highlight w:val="none"/>
          <w:lang w:bidi="ar"/>
        </w:rPr>
      </w:pPr>
      <w:r>
        <w:rPr>
          <w:rFonts w:hint="eastAsia" w:ascii="宋体" w:hAnsi="宋体" w:cs="宋体"/>
          <w:b/>
          <w:bCs/>
          <w:color w:val="auto"/>
          <w:sz w:val="24"/>
          <w:highlight w:val="none"/>
        </w:rPr>
        <w:t>4.是否收取履约保证金：</w:t>
      </w:r>
      <w:r>
        <w:rPr>
          <w:rFonts w:hint="eastAsia" w:ascii="宋体" w:hAnsi="宋体" w:cs="宋体"/>
          <w:color w:val="auto"/>
          <w:sz w:val="24"/>
          <w:highlight w:val="none"/>
        </w:rPr>
        <w:t>是。</w:t>
      </w:r>
      <w:r>
        <w:rPr>
          <w:rFonts w:ascii="宋体" w:hAnsi="宋体" w:cs="宋体"/>
          <w:color w:val="auto"/>
          <w:kern w:val="0"/>
          <w:sz w:val="24"/>
          <w:highlight w:val="none"/>
        </w:rPr>
        <w:t>履约保证金百分比：</w:t>
      </w:r>
      <w:r>
        <w:rPr>
          <w:rFonts w:hint="eastAsia" w:ascii="宋体" w:hAnsi="宋体" w:cs="宋体"/>
          <w:color w:val="auto"/>
          <w:kern w:val="0"/>
          <w:sz w:val="24"/>
          <w:highlight w:val="none"/>
          <w:u w:val="single"/>
        </w:rPr>
        <w:t>3</w:t>
      </w:r>
      <w:r>
        <w:rPr>
          <w:rFonts w:ascii="宋体" w:hAnsi="宋体" w:cs="宋体"/>
          <w:color w:val="auto"/>
          <w:kern w:val="0"/>
          <w:sz w:val="24"/>
          <w:highlight w:val="none"/>
        </w:rPr>
        <w:t>%。说明：</w:t>
      </w:r>
      <w:r>
        <w:rPr>
          <w:rFonts w:hint="eastAsia"/>
          <w:color w:val="auto"/>
          <w:sz w:val="24"/>
          <w:highlight w:val="none"/>
          <w:lang w:eastAsia="zh-CN"/>
        </w:rPr>
        <w:t>成交人</w:t>
      </w:r>
      <w:r>
        <w:rPr>
          <w:color w:val="auto"/>
          <w:sz w:val="24"/>
          <w:highlight w:val="none"/>
        </w:rPr>
        <w:t>在签订采购合同前应向采购人缴纳合同总金额</w:t>
      </w:r>
      <w:bookmarkStart w:id="58" w:name="_GoBack"/>
      <w:bookmarkEnd w:id="58"/>
      <w:r>
        <w:rPr>
          <w:rFonts w:hint="eastAsia"/>
          <w:color w:val="auto"/>
          <w:sz w:val="24"/>
          <w:highlight w:val="none"/>
          <w:lang w:val="en-US" w:eastAsia="zh-CN"/>
        </w:rPr>
        <w:t>3</w:t>
      </w:r>
      <w:r>
        <w:rPr>
          <w:color w:val="auto"/>
          <w:sz w:val="24"/>
          <w:highlight w:val="none"/>
        </w:rPr>
        <w:t>%的履约保证金，该履约保证金将在项目验收合格后且</w:t>
      </w:r>
      <w:r>
        <w:rPr>
          <w:rFonts w:hint="eastAsia"/>
          <w:color w:val="auto"/>
          <w:sz w:val="24"/>
          <w:highlight w:val="none"/>
          <w:lang w:eastAsia="zh-CN"/>
        </w:rPr>
        <w:t>成交人</w:t>
      </w:r>
      <w:r>
        <w:rPr>
          <w:color w:val="auto"/>
          <w:sz w:val="24"/>
          <w:highlight w:val="none"/>
        </w:rPr>
        <w:t>无违约的前提下无息退还。如果是以保函形式缴纳履约保证金的，</w:t>
      </w:r>
      <w:r>
        <w:rPr>
          <w:rFonts w:hint="eastAsia"/>
          <w:color w:val="auto"/>
          <w:sz w:val="24"/>
          <w:highlight w:val="none"/>
          <w:lang w:eastAsia="zh-CN"/>
        </w:rPr>
        <w:t>成交人</w:t>
      </w:r>
      <w:r>
        <w:rPr>
          <w:color w:val="auto"/>
          <w:sz w:val="24"/>
          <w:highlight w:val="none"/>
        </w:rPr>
        <w:t>必须开具见索即付(无条件支付)银行保函，且保函有效期(即到期时间)必须为项目验收合格后再延长6个月。</w:t>
      </w:r>
    </w:p>
    <w:p>
      <w:pPr>
        <w:spacing w:line="460" w:lineRule="exact"/>
        <w:ind w:firstLine="480" w:firstLineChars="200"/>
        <w:rPr>
          <w:rFonts w:ascii="宋体" w:hAnsi="宋体" w:cs="宋体"/>
          <w:color w:val="auto"/>
          <w:sz w:val="24"/>
          <w:highlight w:val="none"/>
        </w:rPr>
      </w:pP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4.付款方式：</w:t>
      </w:r>
      <w:r>
        <w:rPr>
          <w:rFonts w:ascii="宋体" w:hAnsi="宋体" w:cs="宋体"/>
          <w:color w:val="auto"/>
          <w:sz w:val="24"/>
          <w:highlight w:val="none"/>
        </w:rPr>
        <w:t>设备完成安装、调试及按合同要求验收合格运行一个月后</w:t>
      </w:r>
      <w:r>
        <w:rPr>
          <w:rFonts w:hint="eastAsia" w:ascii="宋体" w:hAnsi="宋体" w:cs="宋体"/>
          <w:color w:val="auto"/>
          <w:sz w:val="24"/>
          <w:highlight w:val="none"/>
          <w:lang w:eastAsia="zh-CN"/>
        </w:rPr>
        <w:t>，</w:t>
      </w:r>
      <w:r>
        <w:rPr>
          <w:rFonts w:ascii="宋体" w:hAnsi="宋体" w:cs="宋体"/>
          <w:color w:val="auto"/>
          <w:sz w:val="24"/>
          <w:highlight w:val="none"/>
        </w:rPr>
        <w:t>无质量问题</w:t>
      </w:r>
      <w:r>
        <w:rPr>
          <w:rFonts w:hint="eastAsia" w:ascii="宋体" w:hAnsi="宋体" w:cs="宋体"/>
          <w:color w:val="auto"/>
          <w:sz w:val="24"/>
          <w:highlight w:val="none"/>
        </w:rPr>
        <w:t>的情况</w:t>
      </w:r>
      <w:r>
        <w:rPr>
          <w:rFonts w:ascii="宋体" w:hAnsi="宋体" w:cs="宋体"/>
          <w:color w:val="auto"/>
          <w:sz w:val="24"/>
          <w:highlight w:val="none"/>
        </w:rPr>
        <w:t>下一次性全额付款（成交人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highlight w:val="none"/>
          <w:lang w:eastAsia="zh-CN"/>
        </w:rPr>
        <w:t>止</w:t>
      </w:r>
      <w:r>
        <w:rPr>
          <w:rFonts w:ascii="宋体" w:hAnsi="宋体" w:cs="宋体"/>
          <w:color w:val="auto"/>
          <w:sz w:val="24"/>
          <w:highlight w:val="none"/>
        </w:rPr>
        <w:t>）。</w:t>
      </w:r>
    </w:p>
    <w:p>
      <w:pPr>
        <w:pStyle w:val="14"/>
        <w:shd w:val="clear" w:color="auto" w:fill="FFFFFF"/>
        <w:spacing w:before="0" w:beforeAutospacing="0" w:after="0" w:afterAutospacing="0" w:line="460" w:lineRule="exact"/>
        <w:ind w:firstLine="482" w:firstLineChars="200"/>
        <w:rPr>
          <w:rFonts w:ascii="微软雅黑" w:hAnsi="微软雅黑" w:eastAsia="微软雅黑" w:cs="微软雅黑"/>
          <w:color w:val="auto"/>
          <w:highlight w:val="none"/>
        </w:rPr>
      </w:pPr>
      <w:r>
        <w:rPr>
          <w:rFonts w:hint="eastAsia"/>
          <w:b/>
          <w:bCs/>
          <w:color w:val="auto"/>
          <w:highlight w:val="none"/>
          <w:shd w:val="clear" w:color="auto" w:fill="FFFFFF"/>
        </w:rPr>
        <w:t>5.安装、调试及培训要求</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5.1成交人应在合同签订时向采购人提供安装、调试及试运行的进度计划表，并负责组织专业技术人员进行货物安装调试，采购人应提供必须的基本条件和专人配合，保证各项安装工作顺利进行。</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5.2成交人按有关规范进行安装调试，并对安全生产负全部责任。合同签订后，由成交人负责将货物按签订合同的具体要求、具体数量、具体地点运送到最终目的地，成交人应在接到采购人通知后在规定的时间内负责派技术人员到现场进行安装、调试，并负责调试至验收合格交付采购人使用。</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5.3货物到达最终采购人现场后，成交人的工程师到采购人的现场安装货物，同时应向采购人介绍货物功能及特殊分析并进行现场技术指导、演示。</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5.4货物进场后成交人须在接到采购人安装通知后一周内安装调试完毕并交付使用。</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5.5成交人应根据货物特点，对采购人技术人员、管理人员进行操作、维修、保养等方面的专业培训，直至能独立操作。成交人委派的专业技术人员所需费用均由成交人承担，既包含在竞价报价内。       </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5.6提供现场培训，可根据采购人需求举办不定期培训，帮助采购人提高日常基本维护技能和系统的操作、管理满足工作的需要。成交人派到采购人现场服务的技术人员应具有实践经验、可胜任此工项工作的人员。采购人有权提出更换不符合要求的成交人现场服务人员，成交人应根据现场需要，重新选派采购人认可的服务人员。</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5.7成交人应为商品提供适宜商品运输的包装方式，对于包装不良所发生的损失及由于采用不充分或不妥善的防护措施而造成的任何损失，成交人应承担由此而产生的一切费用和损失。</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5.8凡与本采购设备相连接的其他设备装置，成交人有提供接口和技术配合的义务，并不由此而发生合同价格以外的其他任何费用。</w:t>
      </w:r>
    </w:p>
    <w:p>
      <w:pPr>
        <w:pStyle w:val="14"/>
        <w:shd w:val="clear" w:color="auto" w:fill="FFFFFF"/>
        <w:spacing w:before="0" w:beforeAutospacing="0" w:after="0" w:afterAutospacing="0" w:line="460" w:lineRule="exact"/>
        <w:ind w:firstLine="482" w:firstLineChars="200"/>
        <w:rPr>
          <w:rFonts w:ascii="微软雅黑" w:hAnsi="微软雅黑" w:eastAsia="微软雅黑" w:cs="微软雅黑"/>
          <w:b/>
          <w:bCs/>
          <w:color w:val="auto"/>
          <w:highlight w:val="none"/>
        </w:rPr>
      </w:pPr>
      <w:r>
        <w:rPr>
          <w:rFonts w:hint="eastAsia"/>
          <w:b/>
          <w:bCs/>
          <w:color w:val="auto"/>
          <w:highlight w:val="none"/>
          <w:shd w:val="clear" w:color="auto" w:fill="FFFFFF"/>
        </w:rPr>
        <w:t>6.验收要求</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6.1验收标准：</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所提供的货物必须是全新原装未启封且未经二次销售的设备（外观无刮、碰痕迹，并有下列明显标记：名 称、品 牌型号、制造商 标识、产地、出厂日期、生产序列号等），成交人不得自行拆封或加装配件。设备的制造标准及技术规范必须符合国家相关标准、规范要求。如成交人提供的货物存在技术缺陷或事故隐患造成采购人或任何第三方人身、财产损害的，成交人应当对该损害承担全部法律责任。如造成采购人损失的，成交人还应当赔偿采购人的全部损失。在设备使用期本保证应持续有效。</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6.2验收步骤</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第一步 出厂检验。成交人需提供货物清单，发货计划经采购人认可后实施。成交人负责所提供产品的出厂检验，保证产品原 产 地和技术指标的真实性、完整性、合法性，并负责将产品送达交货地点，并向采购人提供货物制造厂的质量合格证书。采购人在货物（含软件）到货后，将按合同规定对所交设备进行清点、核对和商检。</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第二步 初验收。货物送至采购人安装现场后，由成交人和采购人共同对货物的数量、基本质量、外包装等根据本章节的有关规定逐项检验。</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第三步 试运行。货物安装完毕后，成交人应对货物的整体性能和功能进行测试，试运行3个工作日，试运行期间，出现的任何问题，应由成交人及时处理修正。如发现货物由于成交人原因（包括运输）有任何损坏、缺陷、缺少或者不符合合同中规定的质量标准和规范时，应做好记录，并由双方代表签字，各执一份，作为采购人向成交人提出修理、更换的依据，由此产生的费用均由成交人承担。</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第四步 最终验收。试运行并测试验收结束后，由采购人指 定验收人员根据合同相关条款要求一同对货物进行联合验收，验收结果应符合采购人使用要求。合同双方如对货物最终验收检验合格无异议，双方签署验收书一式两份，采购人与成交人双方各执一份。在此期间，若发现产品质量有问题成交人应无条件免费更换，并无条件重新检测并调试直至验收合格交付使用。</w:t>
      </w:r>
    </w:p>
    <w:p>
      <w:pPr>
        <w:pStyle w:val="14"/>
        <w:shd w:val="clear" w:color="auto" w:fill="FFFFFF"/>
        <w:spacing w:before="0" w:beforeAutospacing="0" w:after="0" w:afterAutospacing="0" w:line="460" w:lineRule="exact"/>
        <w:ind w:firstLine="480" w:firstLineChars="200"/>
        <w:rPr>
          <w:rFonts w:ascii="微软雅黑" w:hAnsi="微软雅黑" w:eastAsia="微软雅黑" w:cs="微软雅黑"/>
          <w:color w:val="auto"/>
          <w:highlight w:val="none"/>
        </w:rPr>
      </w:pPr>
      <w:r>
        <w:rPr>
          <w:rFonts w:hint="eastAsia"/>
          <w:color w:val="auto"/>
          <w:highlight w:val="none"/>
          <w:shd w:val="clear" w:color="auto" w:fill="FFFFFF"/>
        </w:rPr>
        <w:t>如成交人对上述采购人提出修理、更换的要求有异议，应在接到采购人书面通知后 2日内提出，并书面通知采购人，否则上述要求即告成立。如有异议，成交人应在接到通知后 3日内，自费派代表赴现场同采购人代表共同复验。</w:t>
      </w:r>
    </w:p>
    <w:p>
      <w:pPr>
        <w:spacing w:line="4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shd w:val="clear" w:color="auto" w:fill="FFFFFF"/>
        </w:rPr>
        <w:t>6.3验收所产生的一切费用由成交人承担。</w:t>
      </w:r>
    </w:p>
    <w:p>
      <w:pPr>
        <w:spacing w:line="4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7.售后维保要求：</w:t>
      </w:r>
      <w:r>
        <w:rPr>
          <w:rFonts w:hint="eastAsia" w:ascii="宋体" w:hAnsi="宋体" w:cs="宋体"/>
          <w:color w:val="auto"/>
          <w:sz w:val="24"/>
          <w:highlight w:val="none"/>
        </w:rPr>
        <w:t>免费保修1年，设备运行发生故障时，在接到采购人故障通知后远程响应时间为4小时，并在12小时内应委派专业技术人员到现场免费提供咨询、维修和更换零部件等服务。</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8.违约责任</w:t>
      </w:r>
    </w:p>
    <w:p>
      <w:pPr>
        <w:spacing w:before="75" w:after="75"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8.1成交人按合同清单上的货物运达指定地点并安装调试完成后，采购人应严格按照竞价文件要求在双方约定的时间内进行验收，采购人无正当理由不得无故拖延验收时间。</w:t>
      </w:r>
    </w:p>
    <w:p>
      <w:pPr>
        <w:spacing w:before="75" w:after="75"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8.2成交人所交货物不符合本文件合同要求的，采购人有权拒收并没收其履约保证金。</w:t>
      </w:r>
    </w:p>
    <w:p>
      <w:pPr>
        <w:spacing w:before="75" w:after="75"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8.3成交人不能交付货物的，采购人没收其履约保证金。</w:t>
      </w:r>
    </w:p>
    <w:p>
      <w:pPr>
        <w:spacing w:before="75" w:after="75"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8.4成交人逾期交付货物，成交人应向采购人每日偿付货款5‰的违约金。</w:t>
      </w:r>
    </w:p>
    <w:p>
      <w:pPr>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8.5因成交人违约对采购人造成损失的赔偿金及合同约定的违约金均可由采购人从未支付的合同款或保证金中扣除。</w:t>
      </w:r>
    </w:p>
    <w:p>
      <w:pPr>
        <w:spacing w:line="360" w:lineRule="auto"/>
        <w:ind w:firstLine="482" w:firstLineChars="200"/>
        <w:rPr>
          <w:rFonts w:ascii="宋体" w:hAnsi="宋体" w:cs="宋体"/>
          <w:b/>
          <w:bCs/>
          <w:color w:val="auto"/>
          <w:sz w:val="24"/>
          <w:highlight w:val="none"/>
          <w:lang w:val="zh-TW"/>
        </w:rPr>
      </w:pPr>
      <w:r>
        <w:rPr>
          <w:rFonts w:hint="eastAsia" w:ascii="宋体" w:hAnsi="宋体" w:cs="宋体"/>
          <w:b/>
          <w:bCs/>
          <w:color w:val="auto"/>
          <w:sz w:val="24"/>
          <w:highlight w:val="none"/>
        </w:rPr>
        <w:t>9.</w:t>
      </w:r>
      <w:r>
        <w:rPr>
          <w:rFonts w:hint="eastAsia" w:ascii="宋体" w:hAnsi="宋体" w:cs="宋体"/>
          <w:b/>
          <w:bCs/>
          <w:color w:val="auto"/>
          <w:sz w:val="24"/>
          <w:highlight w:val="none"/>
          <w:lang w:val="zh-TW"/>
        </w:rPr>
        <w:t>不可抗力</w:t>
      </w:r>
    </w:p>
    <w:p>
      <w:pPr>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rPr>
        <w:t xml:space="preserve">9.1 </w:t>
      </w:r>
      <w:r>
        <w:rPr>
          <w:rFonts w:hint="eastAsia" w:ascii="宋体" w:hAnsi="宋体" w:cs="宋体"/>
          <w:color w:val="auto"/>
          <w:sz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 </w:t>
      </w:r>
      <w:r>
        <w:rPr>
          <w:rFonts w:hint="eastAsia" w:ascii="宋体" w:hAnsi="宋体" w:cs="宋体"/>
          <w:color w:val="auto"/>
          <w:sz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rPr>
          <w:rFonts w:ascii="宋体" w:hAnsi="宋体" w:cs="宋体"/>
          <w:b/>
          <w:bCs/>
          <w:color w:val="auto"/>
          <w:sz w:val="24"/>
          <w:highlight w:val="none"/>
          <w:lang w:val="zh-TW"/>
        </w:rPr>
      </w:pPr>
      <w:r>
        <w:rPr>
          <w:rFonts w:hint="eastAsia" w:ascii="宋体" w:hAnsi="宋体" w:cs="宋体"/>
          <w:b/>
          <w:bCs/>
          <w:color w:val="auto"/>
          <w:sz w:val="24"/>
          <w:highlight w:val="none"/>
        </w:rPr>
        <w:t>10.</w:t>
      </w:r>
      <w:r>
        <w:rPr>
          <w:rFonts w:hint="eastAsia" w:ascii="宋体" w:hAnsi="宋体" w:cs="宋体"/>
          <w:b/>
          <w:bCs/>
          <w:color w:val="auto"/>
          <w:sz w:val="24"/>
          <w:highlight w:val="none"/>
          <w:lang w:val="zh-TW"/>
        </w:rPr>
        <w:t>知识产权</w:t>
      </w:r>
    </w:p>
    <w:p>
      <w:pPr>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rPr>
        <w:t>10.1</w:t>
      </w:r>
      <w:r>
        <w:rPr>
          <w:rFonts w:hint="eastAsia" w:ascii="宋体" w:hAnsi="宋体" w:cs="宋体"/>
          <w:color w:val="auto"/>
          <w:sz w:val="24"/>
          <w:highlight w:val="none"/>
          <w:lang w:val="zh-TW"/>
        </w:rPr>
        <w:t>知识产权：成交人须保障采购人在服务期间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spacing w:line="360" w:lineRule="auto"/>
        <w:ind w:firstLine="480" w:firstLineChars="200"/>
        <w:rPr>
          <w:rFonts w:ascii="宋体" w:hAnsi="宋体" w:cs="宋体"/>
          <w:color w:val="auto"/>
          <w:sz w:val="24"/>
          <w:highlight w:val="none"/>
          <w:lang w:val="zh-TW"/>
        </w:rPr>
      </w:pPr>
      <w:r>
        <w:rPr>
          <w:rFonts w:hint="eastAsia" w:ascii="宋体" w:hAnsi="宋体" w:cs="宋体"/>
          <w:color w:val="auto"/>
          <w:sz w:val="24"/>
          <w:highlight w:val="none"/>
        </w:rPr>
        <w:t>10.2</w:t>
      </w:r>
      <w:r>
        <w:rPr>
          <w:rFonts w:hint="eastAsia" w:ascii="宋体" w:hAnsi="宋体" w:cs="宋体"/>
          <w:color w:val="auto"/>
          <w:sz w:val="24"/>
          <w:highlight w:val="none"/>
          <w:lang w:val="zh-TW"/>
        </w:rPr>
        <w:t>竞价报价须包含各种验收费、评审费、差旅费、税金、规费及其他所有成本费用的总和。如有遗漏，由竞价人自行补充，一旦成交视为竞价人认同遗漏部分并免费提供，采购人不再进行任何增补。</w:t>
      </w:r>
      <w:bookmarkEnd w:id="6"/>
      <w:bookmarkEnd w:id="7"/>
      <w:bookmarkEnd w:id="8"/>
      <w:bookmarkEnd w:id="9"/>
    </w:p>
    <w:p>
      <w:pPr>
        <w:snapToGrid w:val="0"/>
        <w:spacing w:line="360" w:lineRule="auto"/>
        <w:ind w:firstLine="482" w:firstLineChars="200"/>
        <w:jc w:val="left"/>
        <w:rPr>
          <w:rFonts w:ascii="宋体" w:hAnsi="宋体"/>
          <w:b/>
          <w:bCs/>
          <w:color w:val="auto"/>
          <w:sz w:val="24"/>
          <w:highlight w:val="none"/>
          <w:u w:val="single"/>
        </w:rPr>
      </w:pPr>
      <w:r>
        <w:rPr>
          <w:rFonts w:hint="eastAsia" w:ascii="宋体" w:hAnsi="宋体"/>
          <w:b/>
          <w:bCs/>
          <w:color w:val="auto"/>
          <w:sz w:val="24"/>
          <w:highlight w:val="none"/>
          <w:u w:val="single"/>
        </w:rPr>
        <w:t>★注：竞价人一经提交响应文件并被采购人确定为成交人，即视为完全响应本章所有要求。若在成交后或合同执行过程中违反相关规定，将视为虚假应标，须承担相应责任。</w:t>
      </w: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numPr>
          <w:ilvl w:val="0"/>
          <w:numId w:val="1"/>
        </w:numPr>
        <w:autoSpaceDN w:val="0"/>
        <w:spacing w:line="360" w:lineRule="auto"/>
        <w:jc w:val="center"/>
        <w:outlineLvl w:val="0"/>
        <w:rPr>
          <w:rStyle w:val="18"/>
          <w:rFonts w:ascii="宋体" w:hAnsi="宋体"/>
          <w:color w:val="auto"/>
          <w:sz w:val="36"/>
          <w:szCs w:val="36"/>
          <w:highlight w:val="none"/>
        </w:rPr>
      </w:pPr>
      <w:bookmarkStart w:id="11" w:name="_Toc15556"/>
      <w:bookmarkStart w:id="12" w:name="_Toc20788"/>
      <w:r>
        <w:rPr>
          <w:rStyle w:val="18"/>
          <w:rFonts w:hint="eastAsia" w:ascii="宋体" w:hAnsi="宋体"/>
          <w:color w:val="auto"/>
          <w:sz w:val="36"/>
          <w:szCs w:val="36"/>
          <w:highlight w:val="none"/>
        </w:rPr>
        <w:t>福建农林大学网上竞价</w:t>
      </w:r>
      <w:r>
        <w:rPr>
          <w:rStyle w:val="18"/>
          <w:rFonts w:ascii="宋体" w:hAnsi="宋体"/>
          <w:color w:val="auto"/>
          <w:sz w:val="36"/>
          <w:szCs w:val="36"/>
          <w:highlight w:val="none"/>
        </w:rPr>
        <w:t>采购合同</w:t>
      </w:r>
      <w:bookmarkEnd w:id="11"/>
      <w:bookmarkEnd w:id="12"/>
    </w:p>
    <w:p>
      <w:pPr>
        <w:autoSpaceDN w:val="0"/>
        <w:spacing w:line="360" w:lineRule="auto"/>
        <w:jc w:val="center"/>
        <w:rPr>
          <w:color w:val="auto"/>
          <w:sz w:val="24"/>
          <w:highlight w:val="none"/>
        </w:rPr>
      </w:pPr>
      <w:r>
        <w:rPr>
          <w:rStyle w:val="18"/>
          <w:rFonts w:ascii="宋体" w:hAnsi="宋体"/>
          <w:color w:val="auto"/>
          <w:sz w:val="24"/>
          <w:highlight w:val="none"/>
        </w:rPr>
        <w:t>（参考文本</w:t>
      </w:r>
      <w:r>
        <w:rPr>
          <w:rStyle w:val="18"/>
          <w:rFonts w:hint="eastAsia" w:ascii="宋体" w:hAnsi="宋体"/>
          <w:color w:val="auto"/>
          <w:sz w:val="24"/>
          <w:highlight w:val="none"/>
        </w:rPr>
        <w:t>2022-06-20版</w:t>
      </w:r>
      <w:r>
        <w:rPr>
          <w:rStyle w:val="18"/>
          <w:rFonts w:ascii="宋体" w:hAnsi="宋体"/>
          <w:color w:val="auto"/>
          <w:sz w:val="24"/>
          <w:highlight w:val="none"/>
        </w:rPr>
        <w:t>）</w:t>
      </w:r>
    </w:p>
    <w:p>
      <w:pPr>
        <w:pStyle w:val="14"/>
        <w:spacing w:before="75" w:after="75" w:line="360" w:lineRule="auto"/>
        <w:jc w:val="center"/>
        <w:rPr>
          <w:color w:val="auto"/>
          <w:highlight w:val="none"/>
        </w:rPr>
      </w:pPr>
      <w:r>
        <w:rPr>
          <w:rStyle w:val="18"/>
          <w:color w:val="auto"/>
          <w:highlight w:val="none"/>
        </w:rPr>
        <w:t>编制说明</w:t>
      </w:r>
    </w:p>
    <w:p>
      <w:pPr>
        <w:pStyle w:val="14"/>
        <w:spacing w:before="0" w:beforeAutospacing="0" w:after="0" w:afterAutospacing="0" w:line="400" w:lineRule="exact"/>
        <w:rPr>
          <w:color w:val="auto"/>
          <w:highlight w:val="none"/>
        </w:rPr>
      </w:pPr>
      <w:r>
        <w:rPr>
          <w:rStyle w:val="18"/>
          <w:rFonts w:hint="eastAsia"/>
          <w:color w:val="auto"/>
          <w:highlight w:val="none"/>
        </w:rPr>
        <w:t>1、签订合同应遵守《中华人民共和国政府采购法》、《中华人民共和国民法典》。</w:t>
      </w:r>
    </w:p>
    <w:p>
      <w:pPr>
        <w:pStyle w:val="14"/>
        <w:spacing w:before="0" w:beforeAutospacing="0" w:after="0" w:afterAutospacing="0" w:line="400" w:lineRule="exact"/>
        <w:rPr>
          <w:color w:val="auto"/>
          <w:highlight w:val="none"/>
        </w:rPr>
      </w:pPr>
      <w:r>
        <w:rPr>
          <w:rStyle w:val="18"/>
          <w:rFonts w:hint="eastAsia"/>
          <w:color w:val="auto"/>
          <w:highlight w:val="none"/>
        </w:rPr>
        <w:t>2、签订合同时，采购人与成交供应商应结合竞价文件规定填写相应内容。竞价文件已有规定的，双方均不得变更或调整；竞价文件未作规定的，双方可通过友好协商进行约定。</w:t>
      </w:r>
    </w:p>
    <w:p>
      <w:pPr>
        <w:pStyle w:val="14"/>
        <w:spacing w:before="0" w:beforeAutospacing="0" w:after="0" w:afterAutospacing="0" w:line="400" w:lineRule="exact"/>
        <w:rPr>
          <w:color w:val="auto"/>
          <w:highlight w:val="none"/>
        </w:rPr>
      </w:pPr>
      <w:r>
        <w:rPr>
          <w:rStyle w:val="18"/>
          <w:rFonts w:hint="eastAsia"/>
          <w:color w:val="auto"/>
          <w:highlight w:val="none"/>
        </w:rPr>
        <w:t>3、国家有关部门若对合同有规范文本的，可使用相应合同文本。</w:t>
      </w:r>
    </w:p>
    <w:p>
      <w:pPr>
        <w:pStyle w:val="14"/>
        <w:spacing w:before="0" w:beforeAutospacing="0" w:after="0" w:afterAutospacing="0" w:line="400" w:lineRule="exact"/>
        <w:rPr>
          <w:color w:val="auto"/>
          <w:highlight w:val="none"/>
        </w:rPr>
      </w:pPr>
      <w:r>
        <w:rPr>
          <w:rFonts w:hint="eastAsia"/>
          <w:color w:val="auto"/>
          <w:highlight w:val="none"/>
        </w:rPr>
        <w:t>甲方：</w:t>
      </w:r>
      <w:r>
        <w:rPr>
          <w:rFonts w:hint="eastAsia"/>
          <w:color w:val="auto"/>
          <w:highlight w:val="none"/>
          <w:u w:val="single"/>
        </w:rPr>
        <w:t>（采购人全称）</w:t>
      </w:r>
    </w:p>
    <w:p>
      <w:pPr>
        <w:pStyle w:val="14"/>
        <w:spacing w:before="0" w:beforeAutospacing="0" w:after="0" w:afterAutospacing="0" w:line="400" w:lineRule="exact"/>
        <w:rPr>
          <w:color w:val="auto"/>
          <w:highlight w:val="none"/>
        </w:rPr>
      </w:pPr>
      <w:r>
        <w:rPr>
          <w:rFonts w:hint="eastAsia"/>
          <w:color w:val="auto"/>
          <w:highlight w:val="none"/>
        </w:rPr>
        <w:t>乙方：</w:t>
      </w:r>
      <w:r>
        <w:rPr>
          <w:rFonts w:hint="eastAsia"/>
          <w:color w:val="auto"/>
          <w:highlight w:val="none"/>
          <w:u w:val="single"/>
        </w:rPr>
        <w:t>（成交供应商全称）</w:t>
      </w:r>
    </w:p>
    <w:p>
      <w:pPr>
        <w:pStyle w:val="14"/>
        <w:spacing w:before="0" w:beforeAutospacing="0" w:after="0" w:afterAutospacing="0" w:line="400" w:lineRule="exact"/>
        <w:ind w:firstLine="480"/>
        <w:rPr>
          <w:color w:val="auto"/>
          <w:highlight w:val="none"/>
        </w:rPr>
      </w:pPr>
      <w:r>
        <w:rPr>
          <w:rFonts w:hint="eastAsia"/>
          <w:color w:val="auto"/>
          <w:highlight w:val="none"/>
        </w:rPr>
        <w:t>根据项目编号为</w:t>
      </w:r>
      <w:r>
        <w:rPr>
          <w:rFonts w:hint="eastAsia"/>
          <w:color w:val="auto"/>
          <w:highlight w:val="none"/>
          <w:u w:val="single"/>
        </w:rPr>
        <w:t>            </w:t>
      </w:r>
      <w:r>
        <w:rPr>
          <w:rFonts w:hint="eastAsia"/>
          <w:color w:val="auto"/>
          <w:highlight w:val="none"/>
        </w:rPr>
        <w:t>的</w:t>
      </w:r>
      <w:r>
        <w:rPr>
          <w:rFonts w:hint="eastAsia"/>
          <w:color w:val="auto"/>
          <w:highlight w:val="none"/>
          <w:u w:val="single"/>
        </w:rPr>
        <w:t>（填写“项目名称”）</w:t>
      </w:r>
      <w:r>
        <w:rPr>
          <w:rFonts w:hint="eastAsia"/>
          <w:color w:val="auto"/>
          <w:highlight w:val="none"/>
        </w:rPr>
        <w:t>项目（以下简称：“本项目”）的竞价结果，乙方为成交供应商。现经甲乙双方友好协商，就以下事项达成一致并签订本合同：</w:t>
      </w:r>
    </w:p>
    <w:p>
      <w:pPr>
        <w:pStyle w:val="14"/>
        <w:spacing w:before="0" w:beforeAutospacing="0" w:after="0" w:afterAutospacing="0" w:line="400" w:lineRule="exact"/>
        <w:ind w:firstLine="480"/>
        <w:rPr>
          <w:color w:val="auto"/>
          <w:highlight w:val="none"/>
        </w:rPr>
      </w:pPr>
      <w:r>
        <w:rPr>
          <w:rFonts w:hint="eastAsia"/>
          <w:color w:val="auto"/>
          <w:highlight w:val="none"/>
        </w:rPr>
        <w:t>1、下列合同文件是构成本合同不可分割的部分：</w:t>
      </w:r>
    </w:p>
    <w:p>
      <w:pPr>
        <w:pStyle w:val="14"/>
        <w:spacing w:before="0" w:beforeAutospacing="0" w:after="0" w:afterAutospacing="0" w:line="400" w:lineRule="exact"/>
        <w:ind w:firstLine="480"/>
        <w:rPr>
          <w:color w:val="auto"/>
          <w:highlight w:val="none"/>
        </w:rPr>
      </w:pPr>
      <w:r>
        <w:rPr>
          <w:rFonts w:hint="eastAsia"/>
          <w:color w:val="auto"/>
          <w:highlight w:val="none"/>
        </w:rPr>
        <w:t>1.1合同条款；</w:t>
      </w:r>
    </w:p>
    <w:p>
      <w:pPr>
        <w:pStyle w:val="14"/>
        <w:spacing w:before="0" w:beforeAutospacing="0" w:after="0" w:afterAutospacing="0" w:line="400" w:lineRule="exact"/>
        <w:ind w:firstLine="480"/>
        <w:rPr>
          <w:color w:val="auto"/>
          <w:highlight w:val="none"/>
        </w:rPr>
      </w:pPr>
      <w:r>
        <w:rPr>
          <w:rFonts w:hint="eastAsia"/>
          <w:color w:val="auto"/>
          <w:highlight w:val="none"/>
        </w:rPr>
        <w:t>1.2竞价文件、乙方的响应文件；</w:t>
      </w:r>
    </w:p>
    <w:p>
      <w:pPr>
        <w:pStyle w:val="14"/>
        <w:spacing w:before="0" w:beforeAutospacing="0" w:after="0" w:afterAutospacing="0" w:line="400" w:lineRule="exact"/>
        <w:ind w:firstLine="480"/>
        <w:rPr>
          <w:color w:val="auto"/>
          <w:highlight w:val="none"/>
        </w:rPr>
      </w:pPr>
      <w:r>
        <w:rPr>
          <w:rFonts w:hint="eastAsia"/>
          <w:color w:val="auto"/>
          <w:highlight w:val="none"/>
        </w:rPr>
        <w:t>1.3其他文件或材料：□无。□</w:t>
      </w:r>
      <w:r>
        <w:rPr>
          <w:rFonts w:hint="eastAsia"/>
          <w:color w:val="auto"/>
          <w:highlight w:val="none"/>
          <w:u w:val="single"/>
        </w:rPr>
        <w:t>（按照实际情况编制填写需要增加的内容）</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2、合同标的</w:t>
      </w:r>
    </w:p>
    <w:p>
      <w:pPr>
        <w:pStyle w:val="14"/>
        <w:spacing w:before="0" w:beforeAutospacing="0" w:after="0" w:afterAutospacing="0" w:line="400" w:lineRule="exact"/>
        <w:ind w:firstLine="480"/>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3、合同总金额</w:t>
      </w:r>
    </w:p>
    <w:p>
      <w:pPr>
        <w:pStyle w:val="14"/>
        <w:spacing w:before="0" w:beforeAutospacing="0" w:after="0" w:afterAutospacing="0" w:line="400" w:lineRule="exact"/>
        <w:ind w:firstLine="480"/>
        <w:rPr>
          <w:color w:val="auto"/>
          <w:highlight w:val="none"/>
        </w:rPr>
      </w:pPr>
      <w:r>
        <w:rPr>
          <w:rFonts w:hint="eastAsia"/>
          <w:color w:val="auto"/>
          <w:highlight w:val="none"/>
        </w:rPr>
        <w:t>3.1合同总金额为人民币大写：</w:t>
      </w:r>
      <w:r>
        <w:rPr>
          <w:rFonts w:hint="eastAsia"/>
          <w:color w:val="auto"/>
          <w:highlight w:val="none"/>
          <w:u w:val="single"/>
        </w:rPr>
        <w:t>              </w:t>
      </w:r>
      <w:r>
        <w:rPr>
          <w:rFonts w:hint="eastAsia"/>
          <w:color w:val="auto"/>
          <w:highlight w:val="none"/>
        </w:rPr>
        <w:t>元（￥</w:t>
      </w:r>
      <w:r>
        <w:rPr>
          <w:rFonts w:hint="eastAsia"/>
          <w:color w:val="auto"/>
          <w:highlight w:val="none"/>
          <w:u w:val="single"/>
        </w:rPr>
        <w:t>              </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3.2 成交人须提供全额发票，若采购的产品为国产设备的，一般纳税人须开具增值税专用发票，小规模纳税人不能开具增值税专用发票的需提供相关证明材料。专用设备发票报销期限原则上为发票开具之日起至次年3月31日止。</w:t>
      </w:r>
    </w:p>
    <w:p>
      <w:pPr>
        <w:pStyle w:val="14"/>
        <w:spacing w:before="0" w:beforeAutospacing="0" w:after="0" w:afterAutospacing="0" w:line="400" w:lineRule="exact"/>
        <w:ind w:firstLine="480"/>
        <w:rPr>
          <w:color w:val="auto"/>
          <w:highlight w:val="none"/>
        </w:rPr>
      </w:pPr>
      <w:r>
        <w:rPr>
          <w:rFonts w:hint="eastAsia"/>
          <w:color w:val="auto"/>
          <w:highlight w:val="none"/>
        </w:rPr>
        <w:t>4、合同标的交付时间、地点和条件</w:t>
      </w:r>
    </w:p>
    <w:p>
      <w:pPr>
        <w:pStyle w:val="14"/>
        <w:spacing w:before="0" w:beforeAutospacing="0" w:after="0" w:afterAutospacing="0" w:line="400" w:lineRule="exact"/>
        <w:ind w:firstLine="480"/>
        <w:rPr>
          <w:color w:val="auto"/>
          <w:highlight w:val="none"/>
        </w:rPr>
      </w:pPr>
      <w:r>
        <w:rPr>
          <w:rFonts w:hint="eastAsia"/>
          <w:color w:val="auto"/>
          <w:highlight w:val="none"/>
        </w:rPr>
        <w:t>4.1交付时间：</w:t>
      </w:r>
      <w:r>
        <w:rPr>
          <w:rFonts w:hint="eastAsia"/>
          <w:color w:val="auto"/>
          <w:highlight w:val="none"/>
          <w:u w:val="single"/>
        </w:rPr>
        <w:t>                     </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4.2交付地点：</w:t>
      </w:r>
      <w:r>
        <w:rPr>
          <w:rFonts w:hint="eastAsia"/>
          <w:color w:val="auto"/>
          <w:highlight w:val="none"/>
          <w:u w:val="single"/>
        </w:rPr>
        <w:t>                     </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4.3交付条件：</w:t>
      </w:r>
      <w:r>
        <w:rPr>
          <w:rFonts w:hint="eastAsia"/>
          <w:color w:val="auto"/>
          <w:highlight w:val="none"/>
          <w:u w:val="single"/>
        </w:rPr>
        <w:t>                     </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5、合同标的应符合竞价文件、乙方响应文件的规定或约定，具体如下：</w:t>
      </w:r>
    </w:p>
    <w:p>
      <w:pPr>
        <w:pStyle w:val="14"/>
        <w:spacing w:before="0" w:beforeAutospacing="0" w:after="0" w:afterAutospacing="0" w:line="400" w:lineRule="exact"/>
        <w:ind w:firstLine="480"/>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6、验收</w:t>
      </w:r>
    </w:p>
    <w:p>
      <w:pPr>
        <w:pStyle w:val="14"/>
        <w:spacing w:before="0" w:beforeAutospacing="0" w:after="0" w:afterAutospacing="0" w:line="400" w:lineRule="exact"/>
        <w:ind w:firstLine="480"/>
        <w:rPr>
          <w:color w:val="auto"/>
          <w:highlight w:val="none"/>
        </w:rPr>
      </w:pPr>
      <w:r>
        <w:rPr>
          <w:rFonts w:hint="eastAsia"/>
          <w:color w:val="auto"/>
          <w:highlight w:val="none"/>
        </w:rPr>
        <w:t>6.1验收应按照竞价文件、乙方响应文件的规定或约定进行，具体如下：</w:t>
      </w:r>
    </w:p>
    <w:p>
      <w:pPr>
        <w:pStyle w:val="14"/>
        <w:spacing w:before="0" w:beforeAutospacing="0" w:after="0" w:afterAutospacing="0" w:line="400" w:lineRule="exact"/>
        <w:ind w:firstLine="480"/>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6.2本项目是否邀请其他供应商参与验收：</w:t>
      </w:r>
    </w:p>
    <w:p>
      <w:pPr>
        <w:pStyle w:val="14"/>
        <w:spacing w:before="0" w:beforeAutospacing="0" w:after="0" w:afterAutospacing="0" w:line="400" w:lineRule="exact"/>
        <w:ind w:left="480"/>
        <w:rPr>
          <w:color w:val="auto"/>
          <w:highlight w:val="none"/>
        </w:rPr>
      </w:pPr>
      <w:r>
        <w:rPr>
          <w:rFonts w:hint="eastAsia"/>
          <w:color w:val="auto"/>
          <w:highlight w:val="none"/>
        </w:rPr>
        <w:t>□不邀请。□邀请，具体如下：</w:t>
      </w:r>
      <w:r>
        <w:rPr>
          <w:rFonts w:hint="eastAsia"/>
          <w:color w:val="auto"/>
          <w:highlight w:val="none"/>
          <w:u w:val="single"/>
        </w:rPr>
        <w:t>（按照竞价文件规定填写）</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7、合同款项的支付应按照竞价文件的规定进行，具体如下：</w:t>
      </w:r>
    </w:p>
    <w:p>
      <w:pPr>
        <w:pStyle w:val="14"/>
        <w:spacing w:before="0" w:beforeAutospacing="0" w:after="0" w:afterAutospacing="0" w:line="400" w:lineRule="exact"/>
        <w:ind w:firstLine="480"/>
        <w:rPr>
          <w:color w:val="auto"/>
          <w:highlight w:val="none"/>
        </w:rPr>
      </w:pPr>
      <w:r>
        <w:rPr>
          <w:rFonts w:hint="eastAsia"/>
          <w:color w:val="auto"/>
          <w:highlight w:val="none"/>
          <w:u w:val="single"/>
        </w:rPr>
        <w:t>（按照实际情况编制填写，可以是表格或文字描述，包括一次性支付或分期支付等）</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8、履约保证金</w:t>
      </w:r>
    </w:p>
    <w:p>
      <w:pPr>
        <w:pStyle w:val="14"/>
        <w:spacing w:before="0" w:beforeAutospacing="0" w:after="0" w:afterAutospacing="0" w:line="400" w:lineRule="exact"/>
        <w:ind w:firstLine="480"/>
        <w:rPr>
          <w:rFonts w:hint="eastAsia"/>
          <w:color w:val="auto"/>
          <w:highlight w:val="none"/>
        </w:rPr>
      </w:pPr>
      <w:r>
        <w:rPr>
          <w:rFonts w:hint="eastAsia"/>
          <w:color w:val="auto"/>
          <w:highlight w:val="none"/>
        </w:rPr>
        <w:t>□无。</w:t>
      </w:r>
      <w:r>
        <w:rPr>
          <w:rFonts w:hint="eastAsia"/>
          <w:color w:val="auto"/>
          <w:highlight w:val="none"/>
          <w:lang w:eastAsia="zh-CN"/>
        </w:rPr>
        <w:t>☑</w:t>
      </w:r>
      <w:r>
        <w:rPr>
          <w:rFonts w:hint="eastAsia"/>
          <w:color w:val="auto"/>
          <w:highlight w:val="none"/>
        </w:rPr>
        <w:t>有，具体如下：</w:t>
      </w:r>
      <w:r>
        <w:rPr>
          <w:rFonts w:ascii="宋体" w:hAnsi="宋体" w:cs="宋体"/>
          <w:color w:val="auto"/>
          <w:sz w:val="24"/>
          <w:highlight w:val="none"/>
        </w:rPr>
        <w:t>设备完成安装、调试及按合同要求验收合格运行一个月后</w:t>
      </w:r>
      <w:r>
        <w:rPr>
          <w:rFonts w:hint="eastAsia" w:ascii="宋体" w:hAnsi="宋体" w:cs="宋体"/>
          <w:color w:val="auto"/>
          <w:sz w:val="24"/>
          <w:highlight w:val="none"/>
          <w:lang w:eastAsia="zh-CN"/>
        </w:rPr>
        <w:t>，</w:t>
      </w:r>
      <w:r>
        <w:rPr>
          <w:rFonts w:ascii="宋体" w:hAnsi="宋体" w:cs="宋体"/>
          <w:color w:val="auto"/>
          <w:sz w:val="24"/>
          <w:highlight w:val="none"/>
        </w:rPr>
        <w:t>无质量问题</w:t>
      </w:r>
      <w:r>
        <w:rPr>
          <w:rFonts w:hint="eastAsia" w:ascii="宋体" w:hAnsi="宋体" w:cs="宋体"/>
          <w:color w:val="auto"/>
          <w:sz w:val="24"/>
          <w:highlight w:val="none"/>
        </w:rPr>
        <w:t>的情况</w:t>
      </w:r>
      <w:r>
        <w:rPr>
          <w:rFonts w:ascii="宋体" w:hAnsi="宋体" w:cs="宋体"/>
          <w:color w:val="auto"/>
          <w:sz w:val="24"/>
          <w:highlight w:val="none"/>
        </w:rPr>
        <w:t>下一次性全额付款（成交人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highlight w:val="none"/>
          <w:lang w:eastAsia="zh-CN"/>
        </w:rPr>
        <w:t>止</w:t>
      </w:r>
      <w:r>
        <w:rPr>
          <w:rFonts w:ascii="宋体" w:hAnsi="宋体" w:cs="宋体"/>
          <w:color w:val="auto"/>
          <w:sz w:val="24"/>
          <w:highlight w:val="none"/>
        </w:rPr>
        <w:t>）</w:t>
      </w:r>
      <w:r>
        <w:rPr>
          <w:rFonts w:hint="eastAsia" w:cs="宋体"/>
          <w:color w:val="auto"/>
          <w:sz w:val="24"/>
          <w:highlight w:val="none"/>
          <w:lang w:eastAsia="zh-CN"/>
        </w:rPr>
        <w:t>。</w:t>
      </w:r>
    </w:p>
    <w:p>
      <w:pPr>
        <w:pStyle w:val="14"/>
        <w:spacing w:before="0" w:beforeAutospacing="0" w:after="0" w:afterAutospacing="0" w:line="400" w:lineRule="exact"/>
        <w:ind w:firstLine="480"/>
        <w:rPr>
          <w:color w:val="auto"/>
          <w:highlight w:val="none"/>
        </w:rPr>
      </w:pPr>
      <w:r>
        <w:rPr>
          <w:rFonts w:hint="eastAsia"/>
          <w:color w:val="auto"/>
          <w:highlight w:val="none"/>
        </w:rPr>
        <w:t>9、合同有效期</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shd w:val="clear" w:color="auto" w:fill="FFFFFF"/>
        </w:rPr>
        <w:t>至合同约定的合同义务履行完毕或依本合同约定合同解除或终止</w:t>
      </w:r>
      <w:r>
        <w:rPr>
          <w:rFonts w:hint="eastAsia" w:ascii="宋体" w:hAnsi="宋体" w:cs="宋体"/>
          <w:color w:val="auto"/>
          <w:kern w:val="0"/>
          <w:sz w:val="24"/>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10、违约责任（不得删减）</w:t>
      </w:r>
    </w:p>
    <w:p>
      <w:pPr>
        <w:pStyle w:val="14"/>
        <w:spacing w:before="0" w:beforeAutospacing="0" w:after="0" w:afterAutospacing="0" w:line="400" w:lineRule="exact"/>
        <w:ind w:firstLine="480"/>
        <w:rPr>
          <w:color w:val="auto"/>
          <w:highlight w:val="none"/>
        </w:rPr>
      </w:pPr>
      <w:r>
        <w:rPr>
          <w:rFonts w:hint="eastAsia"/>
          <w:color w:val="auto"/>
          <w:highlight w:val="none"/>
        </w:rPr>
        <w:t>10.1乙方按合同清单上的货物运达指定地点并安装调试完成后，甲方应严格按照竞价文件要求在双方约定的时间内进行验收，甲方无正当理由不得无故拖延验收时间。</w:t>
      </w:r>
    </w:p>
    <w:p>
      <w:pPr>
        <w:pStyle w:val="14"/>
        <w:spacing w:before="0" w:beforeAutospacing="0" w:after="0" w:afterAutospacing="0" w:line="400" w:lineRule="exact"/>
        <w:ind w:firstLine="480"/>
        <w:rPr>
          <w:color w:val="auto"/>
          <w:highlight w:val="none"/>
        </w:rPr>
      </w:pPr>
      <w:r>
        <w:rPr>
          <w:rFonts w:hint="eastAsia"/>
          <w:color w:val="auto"/>
          <w:highlight w:val="none"/>
        </w:rPr>
        <w:t>10.2乙方所交货物不符合本文件合同要求的，甲方有权拒收并没收其履约保证金。</w:t>
      </w:r>
    </w:p>
    <w:p>
      <w:pPr>
        <w:pStyle w:val="14"/>
        <w:spacing w:before="0" w:beforeAutospacing="0" w:after="0" w:afterAutospacing="0" w:line="400" w:lineRule="exact"/>
        <w:ind w:firstLine="480"/>
        <w:rPr>
          <w:color w:val="auto"/>
          <w:highlight w:val="none"/>
        </w:rPr>
      </w:pPr>
      <w:r>
        <w:rPr>
          <w:rFonts w:hint="eastAsia"/>
          <w:color w:val="auto"/>
          <w:highlight w:val="none"/>
        </w:rPr>
        <w:t>10.3乙方不能交付货物的，甲方没收其履约保证金。</w:t>
      </w:r>
    </w:p>
    <w:p>
      <w:pPr>
        <w:pStyle w:val="14"/>
        <w:spacing w:before="0" w:beforeAutospacing="0" w:after="0" w:afterAutospacing="0" w:line="400" w:lineRule="exact"/>
        <w:ind w:firstLine="480"/>
        <w:rPr>
          <w:color w:val="auto"/>
          <w:highlight w:val="none"/>
        </w:rPr>
      </w:pPr>
      <w:r>
        <w:rPr>
          <w:rFonts w:hint="eastAsia"/>
          <w:color w:val="auto"/>
          <w:highlight w:val="none"/>
        </w:rPr>
        <w:t>10.4乙方逾期交付货物，乙方应向甲方每日偿付货款5‰的违约金。</w:t>
      </w:r>
    </w:p>
    <w:p>
      <w:pPr>
        <w:spacing w:line="400" w:lineRule="exact"/>
        <w:ind w:firstLine="439" w:firstLineChars="183"/>
        <w:rPr>
          <w:rFonts w:ascii="宋体" w:hAnsi="宋体" w:cs="宋体"/>
          <w:color w:val="auto"/>
          <w:kern w:val="0"/>
          <w:sz w:val="24"/>
          <w:highlight w:val="none"/>
        </w:rPr>
      </w:pPr>
      <w:r>
        <w:rPr>
          <w:rFonts w:hint="eastAsia" w:ascii="宋体" w:hAnsi="宋体" w:cs="宋体"/>
          <w:color w:val="auto"/>
          <w:kern w:val="0"/>
          <w:sz w:val="24"/>
          <w:highlight w:val="none"/>
        </w:rPr>
        <w:t>10.5因乙方违约对甲方造成损失的赔偿金及合同约定的违约金均可由甲方从未支付的合同款或保证金中扣除。</w:t>
      </w:r>
    </w:p>
    <w:p>
      <w:pPr>
        <w:pStyle w:val="14"/>
        <w:spacing w:before="0" w:beforeAutospacing="0" w:after="0" w:afterAutospacing="0" w:line="400" w:lineRule="exact"/>
        <w:ind w:firstLine="480"/>
        <w:rPr>
          <w:color w:val="auto"/>
          <w:highlight w:val="none"/>
        </w:rPr>
      </w:pPr>
      <w:r>
        <w:rPr>
          <w:rFonts w:hint="eastAsia"/>
          <w:color w:val="auto"/>
          <w:highlight w:val="none"/>
        </w:rPr>
        <w:t>11、知识产权</w:t>
      </w:r>
    </w:p>
    <w:p>
      <w:pPr>
        <w:pStyle w:val="14"/>
        <w:spacing w:before="0" w:beforeAutospacing="0" w:after="0" w:afterAutospacing="0" w:line="400" w:lineRule="exact"/>
        <w:ind w:firstLine="480"/>
        <w:rPr>
          <w:color w:val="auto"/>
          <w:highlight w:val="none"/>
        </w:rPr>
      </w:pPr>
      <w:r>
        <w:rPr>
          <w:rFonts w:hint="eastAsia"/>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spacing w:before="0" w:beforeAutospacing="0" w:after="0" w:afterAutospacing="0" w:line="400" w:lineRule="exact"/>
        <w:ind w:firstLine="480"/>
        <w:rPr>
          <w:color w:val="auto"/>
          <w:highlight w:val="none"/>
        </w:rPr>
      </w:pPr>
      <w:r>
        <w:rPr>
          <w:rFonts w:hint="eastAsia"/>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olor w:val="auto"/>
          <w:highlight w:val="none"/>
          <w:u w:val="single"/>
        </w:rPr>
        <w:t>（按照实际情况编制填写）</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12、解决争议的方法</w:t>
      </w:r>
    </w:p>
    <w:p>
      <w:pPr>
        <w:pStyle w:val="14"/>
        <w:spacing w:before="0" w:beforeAutospacing="0" w:after="0" w:afterAutospacing="0" w:line="400" w:lineRule="exact"/>
        <w:ind w:firstLine="480"/>
        <w:rPr>
          <w:color w:val="auto"/>
          <w:highlight w:val="none"/>
        </w:rPr>
      </w:pPr>
      <w:r>
        <w:rPr>
          <w:rFonts w:hint="eastAsia"/>
          <w:color w:val="auto"/>
          <w:highlight w:val="none"/>
        </w:rPr>
        <w:t>12.1甲、乙双方协商解决。</w:t>
      </w:r>
    </w:p>
    <w:p>
      <w:pPr>
        <w:pStyle w:val="14"/>
        <w:spacing w:before="0" w:beforeAutospacing="0" w:after="0" w:afterAutospacing="0" w:line="400" w:lineRule="exact"/>
        <w:ind w:firstLine="480"/>
        <w:rPr>
          <w:color w:val="auto"/>
          <w:highlight w:val="none"/>
        </w:rPr>
      </w:pPr>
      <w:r>
        <w:rPr>
          <w:rFonts w:hint="eastAsia"/>
          <w:color w:val="auto"/>
          <w:highlight w:val="none"/>
        </w:rPr>
        <w:t>12.2若协商解决不成，则通过下列途径之一解决：</w:t>
      </w:r>
    </w:p>
    <w:p>
      <w:pPr>
        <w:pStyle w:val="14"/>
        <w:spacing w:before="0" w:beforeAutospacing="0" w:after="0" w:afterAutospacing="0" w:line="400" w:lineRule="exact"/>
        <w:ind w:firstLine="480"/>
        <w:rPr>
          <w:color w:val="auto"/>
          <w:highlight w:val="none"/>
        </w:rPr>
      </w:pPr>
      <w:r>
        <w:rPr>
          <w:rFonts w:hint="eastAsia"/>
          <w:color w:val="auto"/>
          <w:highlight w:val="none"/>
        </w:rPr>
        <w:t>□提交仲裁委员会仲裁，具体如下：</w:t>
      </w:r>
      <w:r>
        <w:rPr>
          <w:rFonts w:hint="eastAsia"/>
          <w:color w:val="auto"/>
          <w:highlight w:val="none"/>
          <w:u w:val="single"/>
        </w:rPr>
        <w:t>（按照实际情况编制填写）</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□向人民法院提起诉讼，具体如下：</w:t>
      </w:r>
      <w:r>
        <w:rPr>
          <w:rFonts w:hint="eastAsia"/>
          <w:color w:val="auto"/>
          <w:highlight w:val="none"/>
          <w:u w:val="single"/>
        </w:rPr>
        <w:t>（按照实际情况编制填写）</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13、不可抗力</w:t>
      </w:r>
    </w:p>
    <w:p>
      <w:pPr>
        <w:pStyle w:val="14"/>
        <w:spacing w:before="0" w:beforeAutospacing="0" w:after="0" w:afterAutospacing="0" w:line="400" w:lineRule="exact"/>
        <w:ind w:firstLine="480"/>
        <w:rPr>
          <w:color w:val="auto"/>
          <w:highlight w:val="none"/>
        </w:rPr>
      </w:pPr>
      <w:r>
        <w:rPr>
          <w:rFonts w:hint="eastAsia"/>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400" w:lineRule="exact"/>
        <w:ind w:firstLine="480"/>
        <w:rPr>
          <w:color w:val="auto"/>
          <w:highlight w:val="none"/>
        </w:rPr>
      </w:pPr>
      <w:r>
        <w:rPr>
          <w:rFonts w:hint="eastAsia"/>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400" w:lineRule="exact"/>
        <w:ind w:firstLine="480"/>
        <w:rPr>
          <w:color w:val="auto"/>
          <w:highlight w:val="none"/>
        </w:rPr>
      </w:pPr>
      <w:r>
        <w:rPr>
          <w:rFonts w:hint="eastAsia"/>
          <w:color w:val="auto"/>
          <w:highlight w:val="none"/>
        </w:rPr>
        <w:t>14、合同条款</w:t>
      </w:r>
    </w:p>
    <w:p>
      <w:pPr>
        <w:pStyle w:val="14"/>
        <w:spacing w:before="0" w:beforeAutospacing="0" w:after="0" w:afterAutospacing="0" w:line="400" w:lineRule="exact"/>
        <w:ind w:firstLine="480"/>
        <w:rPr>
          <w:color w:val="auto"/>
          <w:highlight w:val="none"/>
        </w:rPr>
      </w:pPr>
      <w:r>
        <w:rPr>
          <w:rFonts w:hint="eastAsia"/>
          <w:color w:val="auto"/>
          <w:highlight w:val="none"/>
          <w:u w:val="single"/>
        </w:rPr>
        <w:t>（按照实际情况编制填写。竞价文件已有规定的，双方均不得变更或调整；竞价文件未作规定的，双方可通过友好协商进行约定）</w:t>
      </w:r>
      <w:r>
        <w:rPr>
          <w:rFonts w:hint="eastAsia"/>
          <w:color w:val="auto"/>
          <w:highlight w:val="none"/>
        </w:rPr>
        <w:t>。</w:t>
      </w:r>
    </w:p>
    <w:p>
      <w:pPr>
        <w:pStyle w:val="14"/>
        <w:spacing w:before="0" w:beforeAutospacing="0" w:after="0" w:afterAutospacing="0" w:line="400" w:lineRule="exact"/>
        <w:ind w:firstLine="480"/>
        <w:rPr>
          <w:color w:val="auto"/>
          <w:highlight w:val="none"/>
        </w:rPr>
      </w:pPr>
      <w:r>
        <w:rPr>
          <w:rFonts w:hint="eastAsia"/>
          <w:color w:val="auto"/>
          <w:highlight w:val="none"/>
        </w:rPr>
        <w:t>15、其他约定</w:t>
      </w:r>
    </w:p>
    <w:p>
      <w:pPr>
        <w:pStyle w:val="14"/>
        <w:spacing w:before="0" w:beforeAutospacing="0" w:after="0" w:afterAutospacing="0" w:line="400" w:lineRule="exact"/>
        <w:ind w:firstLine="480"/>
        <w:rPr>
          <w:color w:val="auto"/>
          <w:highlight w:val="none"/>
        </w:rPr>
      </w:pPr>
      <w:r>
        <w:rPr>
          <w:rFonts w:hint="eastAsia"/>
          <w:color w:val="auto"/>
          <w:highlight w:val="none"/>
        </w:rPr>
        <w:t>15.1合同文件与本合同具有同等法律效力。</w:t>
      </w:r>
    </w:p>
    <w:p>
      <w:pPr>
        <w:pStyle w:val="14"/>
        <w:spacing w:before="0" w:beforeAutospacing="0" w:after="0" w:afterAutospacing="0" w:line="400" w:lineRule="exact"/>
        <w:ind w:firstLine="480"/>
        <w:rPr>
          <w:color w:val="auto"/>
          <w:highlight w:val="none"/>
        </w:rPr>
      </w:pPr>
      <w:r>
        <w:rPr>
          <w:rFonts w:hint="eastAsia"/>
          <w:color w:val="auto"/>
          <w:highlight w:val="none"/>
        </w:rPr>
        <w:t>15.2本合同未尽事宜，双方可另行补充。</w:t>
      </w:r>
    </w:p>
    <w:p>
      <w:pPr>
        <w:pStyle w:val="14"/>
        <w:spacing w:before="0" w:beforeAutospacing="0" w:after="0" w:afterAutospacing="0" w:line="400" w:lineRule="exact"/>
        <w:ind w:firstLine="480"/>
        <w:rPr>
          <w:color w:val="auto"/>
          <w:highlight w:val="none"/>
        </w:rPr>
      </w:pPr>
      <w:r>
        <w:rPr>
          <w:rFonts w:hint="eastAsia"/>
          <w:color w:val="auto"/>
          <w:highlight w:val="none"/>
        </w:rPr>
        <w:t>15.3合同生效：自签订之日起生效。</w:t>
      </w:r>
    </w:p>
    <w:p>
      <w:pPr>
        <w:pStyle w:val="14"/>
        <w:spacing w:before="0" w:beforeAutospacing="0" w:after="0" w:afterAutospacing="0" w:line="400" w:lineRule="exact"/>
        <w:ind w:firstLine="480"/>
        <w:rPr>
          <w:color w:val="auto"/>
          <w:highlight w:val="none"/>
        </w:rPr>
      </w:pPr>
      <w:r>
        <w:rPr>
          <w:rFonts w:hint="eastAsia"/>
          <w:color w:val="auto"/>
          <w:highlight w:val="none"/>
        </w:rPr>
        <w:t>15.4本合同一式</w:t>
      </w:r>
      <w:r>
        <w:rPr>
          <w:rFonts w:hint="eastAsia"/>
          <w:color w:val="auto"/>
          <w:highlight w:val="none"/>
          <w:u w:val="single"/>
        </w:rPr>
        <w:t>（填写具体份数）</w:t>
      </w:r>
      <w:r>
        <w:rPr>
          <w:rFonts w:hint="eastAsia"/>
          <w:color w:val="auto"/>
          <w:highlight w:val="none"/>
        </w:rPr>
        <w:t>份，经双方授权代表签字并盖章后生效。甲方、乙方各执</w:t>
      </w:r>
      <w:r>
        <w:rPr>
          <w:rFonts w:hint="eastAsia"/>
          <w:color w:val="auto"/>
          <w:highlight w:val="none"/>
          <w:u w:val="single"/>
        </w:rPr>
        <w:t>（填写具体份数）</w:t>
      </w:r>
      <w:r>
        <w:rPr>
          <w:rFonts w:hint="eastAsia"/>
          <w:color w:val="auto"/>
          <w:highlight w:val="none"/>
        </w:rPr>
        <w:t>份，</w:t>
      </w:r>
      <w:r>
        <w:rPr>
          <w:rFonts w:hint="eastAsia"/>
          <w:color w:val="auto"/>
          <w:highlight w:val="none"/>
          <w:u w:val="single"/>
        </w:rPr>
        <w:t>（扫描件发项目群由代理公司）</w:t>
      </w:r>
      <w:r>
        <w:rPr>
          <w:rFonts w:hint="eastAsia"/>
          <w:color w:val="auto"/>
          <w:highlight w:val="none"/>
        </w:rPr>
        <w:t>备案，具有同等效力。</w:t>
      </w:r>
    </w:p>
    <w:p>
      <w:pPr>
        <w:pStyle w:val="14"/>
        <w:spacing w:before="0" w:beforeAutospacing="0" w:after="0" w:afterAutospacing="0" w:line="400" w:lineRule="exact"/>
        <w:ind w:firstLine="480"/>
        <w:rPr>
          <w:color w:val="auto"/>
          <w:highlight w:val="none"/>
        </w:rPr>
      </w:pPr>
      <w:r>
        <w:rPr>
          <w:rFonts w:hint="eastAsia"/>
          <w:color w:val="auto"/>
          <w:highlight w:val="none"/>
        </w:rPr>
        <w:t>15.5其他：□无。□</w:t>
      </w:r>
      <w:r>
        <w:rPr>
          <w:rFonts w:hint="eastAsia"/>
          <w:color w:val="auto"/>
          <w:highlight w:val="none"/>
          <w:u w:val="single"/>
        </w:rPr>
        <w:t>（按照实际情况编制填写需要增加的内容,不能有空缺）</w:t>
      </w:r>
      <w:r>
        <w:rPr>
          <w:rFonts w:hint="eastAsia"/>
          <w:color w:val="auto"/>
          <w:highlight w:val="none"/>
        </w:rPr>
        <w:t>。</w:t>
      </w:r>
    </w:p>
    <w:tbl>
      <w:tblPr>
        <w:tblStyle w:val="1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bl>
    <w:p>
      <w:pPr>
        <w:pStyle w:val="14"/>
        <w:spacing w:before="0" w:beforeAutospacing="0" w:after="0" w:afterAutospacing="0" w:line="400" w:lineRule="exact"/>
        <w:rPr>
          <w:color w:val="auto"/>
          <w:highlight w:val="none"/>
        </w:rPr>
      </w:pPr>
      <w:r>
        <w:rPr>
          <w:rFonts w:hint="eastAsia"/>
          <w:color w:val="auto"/>
          <w:highlight w:val="none"/>
        </w:rPr>
        <w:t> 签订地点：</w:t>
      </w:r>
      <w:r>
        <w:rPr>
          <w:rFonts w:hint="eastAsia"/>
          <w:color w:val="auto"/>
          <w:highlight w:val="none"/>
          <w:u w:val="single"/>
        </w:rPr>
        <w:t> </w:t>
      </w:r>
      <w:r>
        <w:rPr>
          <w:rFonts w:hint="eastAsia"/>
          <w:color w:val="auto"/>
          <w:highlight w:val="none"/>
        </w:rPr>
        <w:t>必填</w:t>
      </w:r>
      <w:r>
        <w:rPr>
          <w:rFonts w:hint="eastAsia"/>
          <w:color w:val="auto"/>
          <w:highlight w:val="none"/>
          <w:u w:val="single"/>
        </w:rPr>
        <w:t>               </w:t>
      </w:r>
    </w:p>
    <w:p>
      <w:pPr>
        <w:pStyle w:val="14"/>
        <w:spacing w:before="0" w:beforeAutospacing="0" w:after="0" w:afterAutospacing="0" w:line="400" w:lineRule="exact"/>
        <w:rPr>
          <w:color w:val="auto"/>
          <w:highlight w:val="none"/>
        </w:rPr>
      </w:pPr>
      <w:r>
        <w:rPr>
          <w:rFonts w:hint="eastAsia"/>
          <w:color w:val="auto"/>
          <w:highlight w:val="none"/>
        </w:rPr>
        <w:t>签订日期：</w:t>
      </w:r>
      <w:r>
        <w:rPr>
          <w:rFonts w:hint="eastAsia"/>
          <w:color w:val="auto"/>
          <w:highlight w:val="none"/>
          <w:u w:val="single"/>
        </w:rPr>
        <w:t> </w:t>
      </w:r>
      <w:r>
        <w:rPr>
          <w:rFonts w:hint="eastAsia"/>
          <w:color w:val="auto"/>
          <w:highlight w:val="none"/>
        </w:rPr>
        <w:t>必填</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必填</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必填</w:t>
      </w:r>
      <w:r>
        <w:rPr>
          <w:rFonts w:hint="eastAsia"/>
          <w:color w:val="auto"/>
          <w:highlight w:val="none"/>
          <w:u w:val="single"/>
        </w:rPr>
        <w:t>  </w:t>
      </w:r>
      <w:r>
        <w:rPr>
          <w:rFonts w:hint="eastAsia"/>
          <w:color w:val="auto"/>
          <w:highlight w:val="none"/>
        </w:rPr>
        <w:t>日 </w:t>
      </w:r>
    </w:p>
    <w:p>
      <w:pPr>
        <w:pStyle w:val="14"/>
        <w:spacing w:before="0" w:beforeAutospacing="0" w:after="0" w:afterAutospacing="0" w:line="400" w:lineRule="exact"/>
        <w:rPr>
          <w:color w:val="auto"/>
          <w:highlight w:val="none"/>
        </w:rPr>
      </w:pPr>
      <w:r>
        <w:rPr>
          <w:rFonts w:hint="eastAsia"/>
          <w:color w:val="auto"/>
          <w:highlight w:val="none"/>
        </w:rPr>
        <w:t>                                                                          </w:t>
      </w: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pStyle w:val="20"/>
        <w:rPr>
          <w:rFonts w:ascii="宋体" w:hAnsi="宋体" w:cs="宋体"/>
          <w:color w:val="auto"/>
          <w:sz w:val="24"/>
          <w:szCs w:val="24"/>
          <w:highlight w:val="none"/>
          <w:lang w:val="zh-TW"/>
        </w:rPr>
      </w:pPr>
    </w:p>
    <w:p>
      <w:pPr>
        <w:widowControl/>
        <w:spacing w:line="400" w:lineRule="exact"/>
        <w:jc w:val="center"/>
        <w:outlineLvl w:val="0"/>
        <w:rPr>
          <w:rFonts w:ascii="宋体" w:hAnsi="宋体"/>
          <w:b/>
          <w:bCs/>
          <w:color w:val="auto"/>
          <w:sz w:val="36"/>
          <w:szCs w:val="36"/>
          <w:highlight w:val="none"/>
        </w:rPr>
      </w:pPr>
      <w:bookmarkStart w:id="13" w:name="_Toc26969"/>
      <w:bookmarkStart w:id="14" w:name="_Toc15897"/>
      <w:r>
        <w:rPr>
          <w:rFonts w:hint="eastAsia" w:ascii="宋体" w:hAnsi="宋体"/>
          <w:b/>
          <w:bCs/>
          <w:color w:val="auto"/>
          <w:sz w:val="36"/>
          <w:szCs w:val="36"/>
          <w:highlight w:val="none"/>
        </w:rPr>
        <w:t>第四章 响应文件格式</w:t>
      </w:r>
      <w:bookmarkEnd w:id="13"/>
      <w:bookmarkEnd w:id="14"/>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竞价人应详细阅读网上竞价文件内容，在编制响应文件时，要按响应文件格式进行编制，并保证其所提交的全部资料是不可割离且真实、合法、有效、准确、完整，否则造成不利后果均由竞价人承担。</w:t>
      </w:r>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2.格式要求：响应文件应使用不能擦去的墨料或墨水打印、书写或复印，其中：应用A4幅面纸张打印，编制封面、页码(须每页加盖公章和骑缝章)。</w:t>
      </w:r>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3.其他要求：</w:t>
      </w:r>
    </w:p>
    <w:p>
      <w:pPr>
        <w:snapToGrid w:val="0"/>
        <w:spacing w:line="560" w:lineRule="exact"/>
        <w:ind w:firstLine="480" w:firstLineChars="200"/>
        <w:jc w:val="left"/>
        <w:textAlignment w:val="baseline"/>
        <w:rPr>
          <w:rStyle w:val="21"/>
          <w:rFonts w:ascii="宋体" w:hAnsi="宋体"/>
          <w:color w:val="auto"/>
          <w:sz w:val="24"/>
          <w:highlight w:val="none"/>
        </w:rPr>
      </w:pPr>
      <w:r>
        <w:rPr>
          <w:rStyle w:val="21"/>
          <w:rFonts w:ascii="宋体" w:hAnsi="宋体"/>
          <w:color w:val="auto"/>
          <w:sz w:val="24"/>
          <w:highlight w:val="none"/>
        </w:rPr>
        <w:t>①</w:t>
      </w:r>
      <w:r>
        <w:rPr>
          <w:rStyle w:val="21"/>
          <w:rFonts w:ascii="宋体" w:hAnsi="宋体"/>
          <w:color w:val="auto"/>
          <w:kern w:val="0"/>
          <w:sz w:val="24"/>
          <w:highlight w:val="none"/>
        </w:rPr>
        <w:t>竞价人在福建省宏瑞招标代理有限公司网上竞价系统（http://bid.fjhongrui.com）进行</w:t>
      </w:r>
      <w:r>
        <w:rPr>
          <w:rStyle w:val="21"/>
          <w:rFonts w:hint="eastAsia" w:ascii="宋体" w:hAnsi="宋体"/>
          <w:color w:val="auto"/>
          <w:kern w:val="0"/>
          <w:sz w:val="24"/>
          <w:highlight w:val="none"/>
        </w:rPr>
        <w:t>竞价人</w:t>
      </w:r>
      <w:r>
        <w:rPr>
          <w:rStyle w:val="21"/>
          <w:rFonts w:ascii="宋体" w:hAnsi="宋体"/>
          <w:color w:val="auto"/>
          <w:kern w:val="0"/>
          <w:sz w:val="24"/>
          <w:highlight w:val="none"/>
        </w:rPr>
        <w:t>注册。</w:t>
      </w:r>
    </w:p>
    <w:p>
      <w:pPr>
        <w:snapToGrid w:val="0"/>
        <w:spacing w:line="560" w:lineRule="exact"/>
        <w:ind w:firstLine="480" w:firstLineChars="200"/>
        <w:jc w:val="left"/>
        <w:textAlignment w:val="baseline"/>
        <w:rPr>
          <w:rStyle w:val="21"/>
          <w:rFonts w:ascii="宋体" w:hAnsi="宋体"/>
          <w:color w:val="auto"/>
          <w:sz w:val="24"/>
          <w:highlight w:val="none"/>
        </w:rPr>
      </w:pPr>
      <w:r>
        <w:rPr>
          <w:rStyle w:val="21"/>
          <w:rFonts w:ascii="宋体" w:hAnsi="宋体"/>
          <w:color w:val="auto"/>
          <w:sz w:val="24"/>
          <w:highlight w:val="none"/>
        </w:rPr>
        <w:t>②证明材料应没有涂改或行间插字，否则</w:t>
      </w:r>
      <w:r>
        <w:rPr>
          <w:rStyle w:val="21"/>
          <w:rFonts w:hint="eastAsia" w:ascii="宋体" w:hAnsi="宋体"/>
          <w:color w:val="auto"/>
          <w:sz w:val="24"/>
          <w:highlight w:val="none"/>
        </w:rPr>
        <w:t>视为无效证明</w:t>
      </w:r>
      <w:r>
        <w:rPr>
          <w:rStyle w:val="21"/>
          <w:rFonts w:ascii="宋体" w:hAnsi="宋体"/>
          <w:color w:val="auto"/>
          <w:sz w:val="24"/>
          <w:highlight w:val="none"/>
        </w:rPr>
        <w:t>。</w:t>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pStyle w:val="6"/>
        <w:rPr>
          <w:color w:val="auto"/>
          <w:highlight w:val="none"/>
        </w:rPr>
      </w:pPr>
    </w:p>
    <w:p>
      <w:pPr>
        <w:pStyle w:val="6"/>
        <w:rPr>
          <w:color w:val="auto"/>
          <w:highlight w:val="none"/>
        </w:rPr>
      </w:pPr>
    </w:p>
    <w:p>
      <w:pPr>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spacing w:line="1000" w:lineRule="exact"/>
        <w:jc w:val="center"/>
        <w:rPr>
          <w:rFonts w:ascii="黑体" w:hAnsi="黑体" w:eastAsia="黑体"/>
          <w:color w:val="auto"/>
          <w:sz w:val="96"/>
          <w:szCs w:val="96"/>
          <w:highlight w:val="none"/>
        </w:rPr>
      </w:pPr>
    </w:p>
    <w:p>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spacing w:line="1000" w:lineRule="exact"/>
        <w:ind w:firstLine="1920" w:firstLineChars="200"/>
        <w:jc w:val="left"/>
        <w:rPr>
          <w:color w:val="auto"/>
          <w:sz w:val="96"/>
          <w:szCs w:val="96"/>
          <w:highlight w:val="none"/>
        </w:rPr>
      </w:pPr>
    </w:p>
    <w:p>
      <w:pPr>
        <w:spacing w:line="1000" w:lineRule="exact"/>
        <w:ind w:firstLine="1920" w:firstLineChars="200"/>
        <w:jc w:val="left"/>
        <w:rPr>
          <w:color w:val="auto"/>
          <w:sz w:val="96"/>
          <w:szCs w:val="96"/>
          <w:highlight w:val="none"/>
        </w:rPr>
      </w:pPr>
    </w:p>
    <w:p>
      <w:pPr>
        <w:pStyle w:val="2"/>
        <w:rPr>
          <w:color w:val="auto"/>
          <w:highlight w:val="none"/>
        </w:rPr>
      </w:pPr>
    </w:p>
    <w:p>
      <w:pPr>
        <w:spacing w:line="1000" w:lineRule="exact"/>
        <w:ind w:firstLine="1920" w:firstLineChars="200"/>
        <w:jc w:val="left"/>
        <w:rPr>
          <w:color w:val="auto"/>
          <w:sz w:val="96"/>
          <w:szCs w:val="96"/>
          <w:highlight w:val="none"/>
        </w:rPr>
      </w:pPr>
    </w:p>
    <w:p>
      <w:pPr>
        <w:pStyle w:val="9"/>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pPr>
        <w:pStyle w:val="9"/>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pPr>
        <w:pStyle w:val="9"/>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竞价人名称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电话：</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传真：</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邮编：</w:t>
      </w:r>
      <w:r>
        <w:rPr>
          <w:rFonts w:hint="eastAsia" w:ascii="宋体" w:hAnsi="宋体" w:cs="宋体"/>
          <w:b/>
          <w:color w:val="auto"/>
          <w:sz w:val="30"/>
          <w:highlight w:val="none"/>
          <w:u w:val="single"/>
        </w:rPr>
        <w:t xml:space="preserve">       </w:t>
      </w:r>
    </w:p>
    <w:p>
      <w:pPr>
        <w:spacing w:line="360" w:lineRule="auto"/>
        <w:ind w:firstLine="741" w:firstLineChars="246"/>
        <w:rPr>
          <w:rFonts w:ascii="宋体" w:hAnsi="宋体" w:cs="宋体"/>
          <w:b/>
          <w:color w:val="auto"/>
          <w:sz w:val="30"/>
          <w:highlight w:val="none"/>
          <w:u w:val="single"/>
        </w:rPr>
      </w:pPr>
      <w:r>
        <w:rPr>
          <w:rFonts w:hint="eastAsia" w:ascii="宋体" w:hAnsi="宋体" w:cs="宋体"/>
          <w:b/>
          <w:color w:val="auto"/>
          <w:sz w:val="30"/>
          <w:highlight w:val="none"/>
        </w:rPr>
        <w:t>竞价人代表（印刷体）：</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签字：</w:t>
      </w:r>
      <w:r>
        <w:rPr>
          <w:rFonts w:hint="eastAsia" w:ascii="宋体" w:hAnsi="宋体" w:cs="宋体"/>
          <w:b/>
          <w:color w:val="auto"/>
          <w:sz w:val="30"/>
          <w:highlight w:val="none"/>
          <w:u w:val="single"/>
        </w:rPr>
        <w:t xml:space="preserve">           </w:t>
      </w:r>
    </w:p>
    <w:p>
      <w:pPr>
        <w:spacing w:line="360" w:lineRule="auto"/>
        <w:ind w:firstLine="741" w:firstLineChars="246"/>
        <w:rPr>
          <w:rFonts w:ascii="宋体" w:hAnsi="宋体" w:cs="宋体"/>
          <w:b/>
          <w:color w:val="auto"/>
          <w:sz w:val="30"/>
          <w:highlight w:val="none"/>
        </w:rPr>
      </w:pPr>
      <w:r>
        <w:rPr>
          <w:rFonts w:hint="eastAsia" w:ascii="宋体" w:hAnsi="宋体" w:cs="宋体"/>
          <w:b/>
          <w:color w:val="auto"/>
          <w:sz w:val="30"/>
          <w:highlight w:val="none"/>
        </w:rPr>
        <w:t>手机：</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日期 ：</w:t>
      </w:r>
      <w:r>
        <w:rPr>
          <w:rFonts w:hint="eastAsia" w:ascii="宋体" w:hAnsi="宋体" w:cs="宋体"/>
          <w:b/>
          <w:color w:val="auto"/>
          <w:sz w:val="30"/>
          <w:highlight w:val="none"/>
          <w:u w:val="single"/>
        </w:rPr>
        <w:t xml:space="preserve">  年 月 日</w:t>
      </w:r>
    </w:p>
    <w:p>
      <w:pPr>
        <w:rPr>
          <w:color w:val="auto"/>
          <w:highlight w:val="none"/>
        </w:rPr>
      </w:pPr>
    </w:p>
    <w:p>
      <w:pPr>
        <w:pStyle w:val="2"/>
        <w:rPr>
          <w:color w:val="auto"/>
          <w:highlight w:val="none"/>
        </w:rPr>
      </w:pPr>
    </w:p>
    <w:p>
      <w:pPr>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pStyle w:val="6"/>
        <w:rPr>
          <w:color w:val="auto"/>
          <w:highlight w:val="none"/>
        </w:rPr>
      </w:pPr>
    </w:p>
    <w:p>
      <w:pPr>
        <w:pStyle w:val="5"/>
        <w:rPr>
          <w:color w:val="auto"/>
          <w:highlight w:val="none"/>
        </w:rPr>
      </w:pPr>
    </w:p>
    <w:p>
      <w:pPr>
        <w:pStyle w:val="6"/>
        <w:rPr>
          <w:color w:val="auto"/>
          <w:highlight w:val="none"/>
        </w:rPr>
      </w:pPr>
    </w:p>
    <w:p>
      <w:pPr>
        <w:rPr>
          <w:color w:val="auto"/>
          <w:highlight w:val="none"/>
        </w:rPr>
      </w:pPr>
    </w:p>
    <w:p>
      <w:pPr>
        <w:pStyle w:val="23"/>
        <w:spacing w:after="120" w:line="500" w:lineRule="exact"/>
        <w:jc w:val="center"/>
        <w:outlineLvl w:val="9"/>
        <w:rPr>
          <w:rFonts w:hAnsi="宋体" w:cs="宋体"/>
          <w:b/>
          <w:color w:val="auto"/>
          <w:sz w:val="36"/>
          <w:highlight w:val="none"/>
        </w:rPr>
      </w:pPr>
      <w:bookmarkStart w:id="15" w:name="_Toc17123"/>
      <w:bookmarkStart w:id="16" w:name="_Toc30687"/>
      <w:bookmarkStart w:id="17" w:name="_Toc9919"/>
      <w:r>
        <w:rPr>
          <w:rFonts w:hint="eastAsia" w:hAnsi="宋体" w:cs="宋体"/>
          <w:b/>
          <w:color w:val="auto"/>
          <w:sz w:val="36"/>
          <w:highlight w:val="none"/>
        </w:rPr>
        <w:t>目录</w:t>
      </w:r>
      <w:bookmarkEnd w:id="15"/>
      <w:bookmarkEnd w:id="16"/>
      <w:bookmarkEnd w:id="17"/>
    </w:p>
    <w:p>
      <w:pPr>
        <w:pStyle w:val="23"/>
        <w:spacing w:after="120" w:line="500" w:lineRule="exact"/>
        <w:outlineLvl w:val="9"/>
        <w:rPr>
          <w:rFonts w:hAnsi="宋体" w:cs="宋体"/>
          <w:b/>
          <w:color w:val="auto"/>
          <w:sz w:val="36"/>
          <w:highlight w:val="none"/>
        </w:rPr>
      </w:pPr>
    </w:p>
    <w:p>
      <w:pPr>
        <w:pStyle w:val="23"/>
        <w:spacing w:line="400" w:lineRule="exact"/>
        <w:outlineLvl w:val="9"/>
        <w:rPr>
          <w:rFonts w:hAnsi="宋体" w:cs="宋体"/>
          <w:bCs/>
          <w:color w:val="auto"/>
          <w:sz w:val="24"/>
          <w:highlight w:val="none"/>
        </w:rPr>
      </w:pPr>
      <w:bookmarkStart w:id="18" w:name="_Toc31278"/>
      <w:bookmarkStart w:id="19" w:name="_Toc30667"/>
      <w:bookmarkStart w:id="20" w:name="_Toc24454"/>
      <w:r>
        <w:rPr>
          <w:rFonts w:hint="eastAsia" w:hAnsi="宋体" w:cs="宋体"/>
          <w:bCs/>
          <w:color w:val="auto"/>
          <w:sz w:val="24"/>
          <w:highlight w:val="none"/>
        </w:rPr>
        <w:t>1、竞价承诺书</w:t>
      </w:r>
      <w:bookmarkEnd w:id="18"/>
      <w:bookmarkEnd w:id="19"/>
      <w:bookmarkEnd w:id="20"/>
    </w:p>
    <w:p>
      <w:pPr>
        <w:pStyle w:val="23"/>
        <w:spacing w:line="400" w:lineRule="exact"/>
        <w:outlineLvl w:val="9"/>
        <w:rPr>
          <w:rFonts w:hAnsi="宋体" w:cs="宋体"/>
          <w:bCs/>
          <w:color w:val="auto"/>
          <w:sz w:val="24"/>
          <w:highlight w:val="none"/>
        </w:rPr>
      </w:pPr>
      <w:bookmarkStart w:id="21" w:name="_Toc2239"/>
      <w:bookmarkStart w:id="22" w:name="_Toc27025"/>
      <w:bookmarkStart w:id="23" w:name="_Toc8264"/>
      <w:r>
        <w:rPr>
          <w:rFonts w:hint="eastAsia" w:hAnsi="宋体" w:cs="宋体"/>
          <w:bCs/>
          <w:color w:val="auto"/>
          <w:sz w:val="24"/>
          <w:highlight w:val="none"/>
        </w:rPr>
        <w:t>2、竞价人的资格声明</w:t>
      </w:r>
      <w:bookmarkEnd w:id="21"/>
      <w:bookmarkEnd w:id="22"/>
      <w:bookmarkEnd w:id="23"/>
    </w:p>
    <w:p>
      <w:pPr>
        <w:pStyle w:val="23"/>
        <w:spacing w:line="400" w:lineRule="exact"/>
        <w:outlineLvl w:val="9"/>
        <w:rPr>
          <w:rFonts w:hAnsi="宋体" w:cs="宋体"/>
          <w:bCs/>
          <w:color w:val="auto"/>
          <w:sz w:val="24"/>
          <w:highlight w:val="none"/>
        </w:rPr>
      </w:pPr>
      <w:bookmarkStart w:id="24" w:name="_Toc7951"/>
      <w:bookmarkStart w:id="25" w:name="_Toc26851"/>
      <w:bookmarkStart w:id="26" w:name="_Toc8884"/>
      <w:r>
        <w:rPr>
          <w:rFonts w:hint="eastAsia" w:hAnsi="宋体" w:cs="宋体"/>
          <w:bCs/>
          <w:color w:val="auto"/>
          <w:sz w:val="24"/>
          <w:highlight w:val="none"/>
        </w:rPr>
        <w:t>3、</w:t>
      </w:r>
      <w:r>
        <w:rPr>
          <w:rFonts w:hint="eastAsia" w:hAnsi="宋体"/>
          <w:color w:val="auto"/>
          <w:sz w:val="24"/>
          <w:highlight w:val="none"/>
        </w:rPr>
        <w:t>有效营业执照副本复印件</w:t>
      </w:r>
      <w:r>
        <w:rPr>
          <w:rFonts w:hAnsi="宋体" w:cs="宋体"/>
          <w:color w:val="auto"/>
          <w:sz w:val="24"/>
          <w:highlight w:val="none"/>
        </w:rPr>
        <w:t>等证明文件</w:t>
      </w:r>
      <w:bookmarkEnd w:id="24"/>
      <w:bookmarkEnd w:id="25"/>
      <w:bookmarkEnd w:id="26"/>
    </w:p>
    <w:p>
      <w:pPr>
        <w:pStyle w:val="23"/>
        <w:spacing w:line="400" w:lineRule="exact"/>
        <w:outlineLvl w:val="9"/>
        <w:rPr>
          <w:rFonts w:hAnsi="宋体" w:cs="宋体"/>
          <w:bCs/>
          <w:color w:val="auto"/>
          <w:sz w:val="24"/>
          <w:highlight w:val="none"/>
        </w:rPr>
      </w:pPr>
      <w:bookmarkStart w:id="27" w:name="_Toc16459"/>
      <w:bookmarkStart w:id="28" w:name="_Toc29518"/>
      <w:bookmarkStart w:id="29" w:name="_Toc12586"/>
      <w:r>
        <w:rPr>
          <w:rFonts w:hint="eastAsia" w:hAnsi="宋体" w:cs="宋体"/>
          <w:bCs/>
          <w:color w:val="auto"/>
          <w:sz w:val="24"/>
          <w:highlight w:val="none"/>
        </w:rPr>
        <w:t>4、</w:t>
      </w:r>
      <w:r>
        <w:rPr>
          <w:rFonts w:hint="eastAsia" w:hAnsi="宋体"/>
          <w:color w:val="auto"/>
          <w:sz w:val="24"/>
          <w:highlight w:val="none"/>
        </w:rPr>
        <w:t>单位负责人授权书</w:t>
      </w:r>
      <w:bookmarkEnd w:id="27"/>
      <w:bookmarkEnd w:id="28"/>
      <w:bookmarkEnd w:id="29"/>
    </w:p>
    <w:p>
      <w:pPr>
        <w:pStyle w:val="23"/>
        <w:spacing w:line="400" w:lineRule="exact"/>
        <w:outlineLvl w:val="9"/>
        <w:rPr>
          <w:rFonts w:hAnsi="宋体" w:cs="宋体"/>
          <w:bCs/>
          <w:color w:val="auto"/>
          <w:sz w:val="24"/>
          <w:highlight w:val="none"/>
        </w:rPr>
      </w:pPr>
      <w:bookmarkStart w:id="30" w:name="_Toc18454"/>
      <w:bookmarkStart w:id="31" w:name="_Toc12548"/>
      <w:bookmarkStart w:id="32" w:name="_Toc14735"/>
      <w:r>
        <w:rPr>
          <w:rFonts w:hint="eastAsia" w:hAnsi="宋体" w:cs="宋体"/>
          <w:bCs/>
          <w:color w:val="auto"/>
          <w:sz w:val="24"/>
          <w:highlight w:val="none"/>
        </w:rPr>
        <w:t>5、参加采购活动前3年内在经营活动中没有行贿犯罪的承诺函</w:t>
      </w:r>
      <w:bookmarkEnd w:id="30"/>
      <w:bookmarkEnd w:id="31"/>
      <w:bookmarkEnd w:id="32"/>
    </w:p>
    <w:p>
      <w:pPr>
        <w:pStyle w:val="23"/>
        <w:spacing w:line="400" w:lineRule="exact"/>
        <w:outlineLvl w:val="9"/>
        <w:rPr>
          <w:rFonts w:hAnsi="宋体"/>
          <w:color w:val="auto"/>
          <w:sz w:val="24"/>
          <w:highlight w:val="none"/>
        </w:rPr>
      </w:pPr>
      <w:bookmarkStart w:id="33" w:name="_Toc7873"/>
      <w:bookmarkStart w:id="34" w:name="_Toc19305"/>
      <w:bookmarkStart w:id="35" w:name="_Toc8416"/>
      <w:r>
        <w:rPr>
          <w:rFonts w:hint="eastAsia" w:hAnsi="宋体" w:cs="宋体"/>
          <w:bCs/>
          <w:color w:val="auto"/>
          <w:sz w:val="24"/>
          <w:highlight w:val="none"/>
        </w:rPr>
        <w:t>6、</w:t>
      </w:r>
      <w:bookmarkEnd w:id="33"/>
      <w:bookmarkEnd w:id="34"/>
      <w:bookmarkEnd w:id="35"/>
      <w:r>
        <w:rPr>
          <w:rFonts w:hint="eastAsia" w:hAnsi="宋体" w:cs="宋体"/>
          <w:bCs/>
          <w:color w:val="auto"/>
          <w:sz w:val="24"/>
          <w:highlight w:val="none"/>
        </w:rPr>
        <w:t>技术商务响应承诺函</w:t>
      </w:r>
    </w:p>
    <w:p>
      <w:pPr>
        <w:pStyle w:val="23"/>
        <w:spacing w:line="400" w:lineRule="exact"/>
        <w:outlineLvl w:val="9"/>
        <w:rPr>
          <w:rFonts w:hAnsi="宋体"/>
          <w:color w:val="auto"/>
          <w:sz w:val="24"/>
          <w:highlight w:val="none"/>
        </w:rPr>
      </w:pPr>
      <w:bookmarkStart w:id="36" w:name="_Toc15587"/>
      <w:bookmarkStart w:id="37" w:name="_Toc7747"/>
      <w:bookmarkStart w:id="38" w:name="_Toc31771"/>
      <w:r>
        <w:rPr>
          <w:rFonts w:hint="eastAsia" w:hAnsi="宋体"/>
          <w:color w:val="auto"/>
          <w:sz w:val="24"/>
          <w:highlight w:val="none"/>
        </w:rPr>
        <w:t>7、竞价人需提供的其他材料</w:t>
      </w:r>
      <w:bookmarkEnd w:id="36"/>
      <w:bookmarkEnd w:id="37"/>
      <w:bookmarkEnd w:id="38"/>
    </w:p>
    <w:p>
      <w:pPr>
        <w:pStyle w:val="23"/>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sectPr>
          <w:footerReference r:id="rId3" w:type="default"/>
          <w:pgSz w:w="11906" w:h="16838"/>
          <w:pgMar w:top="1247" w:right="924" w:bottom="1089" w:left="1259" w:header="851" w:footer="646" w:gutter="0"/>
          <w:cols w:space="720" w:num="1"/>
          <w:docGrid w:linePitch="312" w:charSpace="0"/>
        </w:sectPr>
      </w:pPr>
    </w:p>
    <w:p>
      <w:pPr>
        <w:widowControl/>
        <w:shd w:val="clear" w:color="auto" w:fill="FFFFFF"/>
        <w:spacing w:line="420" w:lineRule="exact"/>
        <w:rPr>
          <w:rFonts w:ascii="宋体" w:hAnsi="宋体" w:cs="宋体"/>
          <w:b/>
          <w:color w:val="auto"/>
          <w:kern w:val="0"/>
          <w:sz w:val="28"/>
          <w:szCs w:val="28"/>
          <w:highlight w:val="none"/>
          <w:shd w:val="clear" w:color="auto" w:fill="FFFFFF"/>
          <w:lang w:bidi="ar"/>
        </w:rPr>
      </w:pPr>
    </w:p>
    <w:p>
      <w:pPr>
        <w:widowControl/>
        <w:shd w:val="clear" w:color="auto" w:fill="FFFFFF"/>
        <w:spacing w:line="420" w:lineRule="exact"/>
        <w:ind w:left="723" w:firstLine="3092" w:firstLineChars="1100"/>
        <w:rPr>
          <w:rFonts w:ascii="宋体" w:hAnsi="宋体" w:cs="宋体"/>
          <w:b/>
          <w:color w:val="auto"/>
          <w:kern w:val="0"/>
          <w:sz w:val="28"/>
          <w:szCs w:val="28"/>
          <w:highlight w:val="none"/>
          <w:shd w:val="clear" w:color="auto" w:fill="FFFFFF"/>
          <w:lang w:bidi="ar"/>
        </w:rPr>
      </w:pPr>
      <w:bookmarkStart w:id="39" w:name="_Toc14504"/>
      <w:bookmarkStart w:id="40" w:name="_Toc27710"/>
      <w:r>
        <w:rPr>
          <w:rFonts w:hint="eastAsia" w:ascii="宋体" w:hAnsi="宋体" w:cs="宋体"/>
          <w:b/>
          <w:color w:val="auto"/>
          <w:kern w:val="0"/>
          <w:sz w:val="28"/>
          <w:szCs w:val="28"/>
          <w:highlight w:val="none"/>
          <w:shd w:val="clear" w:color="auto" w:fill="FFFFFF"/>
          <w:lang w:bidi="ar"/>
        </w:rPr>
        <w:t>1、竞价承诺书</w:t>
      </w:r>
      <w:bookmarkEnd w:id="39"/>
      <w:bookmarkEnd w:id="40"/>
    </w:p>
    <w:p>
      <w:pPr>
        <w:widowControl/>
        <w:shd w:val="clear" w:color="auto" w:fill="FFFFFF"/>
        <w:spacing w:line="420" w:lineRule="exact"/>
        <w:jc w:val="center"/>
        <w:rPr>
          <w:rFonts w:ascii="宋体" w:hAnsi="宋体" w:cs="宋体"/>
          <w:b/>
          <w:color w:val="auto"/>
          <w:kern w:val="0"/>
          <w:sz w:val="28"/>
          <w:szCs w:val="28"/>
          <w:highlight w:val="none"/>
          <w:shd w:val="clear" w:color="auto" w:fill="FFFFFF"/>
          <w:lang w:bidi="ar"/>
        </w:rPr>
      </w:pPr>
    </w:p>
    <w:p>
      <w:pPr>
        <w:widowControl/>
        <w:shd w:val="clear" w:color="auto" w:fill="FFFFFF"/>
        <w:spacing w:line="420" w:lineRule="exact"/>
        <w:jc w:val="center"/>
        <w:rPr>
          <w:rFonts w:ascii="宋体" w:hAnsi="宋体" w:cs="宋体"/>
          <w:b/>
          <w:color w:val="auto"/>
          <w:kern w:val="0"/>
          <w:sz w:val="28"/>
          <w:szCs w:val="28"/>
          <w:highlight w:val="none"/>
          <w:shd w:val="clear" w:color="auto" w:fill="FFFFFF"/>
          <w:lang w:bidi="ar"/>
        </w:rPr>
      </w:pP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致：</w:t>
      </w:r>
      <w:r>
        <w:rPr>
          <w:rFonts w:hint="eastAsia" w:ascii="宋体" w:hAnsi="宋体" w:cs="宋体"/>
          <w:color w:val="auto"/>
          <w:kern w:val="0"/>
          <w:sz w:val="24"/>
          <w:highlight w:val="none"/>
          <w:u w:val="single"/>
          <w:shd w:val="clear" w:color="auto" w:fill="FFFFFF"/>
          <w:lang w:bidi="ar"/>
        </w:rPr>
        <w:t>福建农林大学</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根据</w:t>
      </w:r>
      <w:r>
        <w:rPr>
          <w:rFonts w:hint="eastAsia" w:ascii="宋体" w:hAnsi="宋体" w:cs="宋体"/>
          <w:color w:val="auto"/>
          <w:kern w:val="0"/>
          <w:sz w:val="24"/>
          <w:highlight w:val="none"/>
          <w:u w:val="single"/>
          <w:shd w:val="clear" w:color="auto" w:fill="FFFFFF"/>
          <w:lang w:bidi="ar"/>
        </w:rPr>
        <w:t>         </w:t>
      </w:r>
      <w:r>
        <w:rPr>
          <w:rStyle w:val="24"/>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项目（竞价编号：</w:t>
      </w:r>
      <w:r>
        <w:rPr>
          <w:rFonts w:hint="eastAsia" w:ascii="宋体" w:hAnsi="宋体" w:cs="宋体"/>
          <w:color w:val="auto"/>
          <w:kern w:val="0"/>
          <w:sz w:val="24"/>
          <w:highlight w:val="none"/>
          <w:u w:val="single"/>
          <w:shd w:val="clear" w:color="auto" w:fill="FFFFFF"/>
          <w:lang w:bidi="ar"/>
        </w:rPr>
        <w:t>        </w:t>
      </w:r>
      <w:r>
        <w:rPr>
          <w:rStyle w:val="24"/>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）网上竞价文件要求，我公司郑重承诺：</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一、保证依据本竞价文件要求和我公司竞价书的承诺，及时与用户签订供货合同，按竞价响应文件承诺的价格及时向采购单位提供符合要求的产品和服务。</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二、本项目竞价文件、我公司提交的响应文件包括对售后服务的承诺对我公司具有同等约束力。</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三、以</w:t>
      </w:r>
      <w:r>
        <w:rPr>
          <w:rFonts w:hint="eastAsia" w:ascii="宋体" w:hAnsi="宋体" w:cs="宋体"/>
          <w:color w:val="auto"/>
          <w:kern w:val="0"/>
          <w:sz w:val="24"/>
          <w:highlight w:val="none"/>
          <w:u w:val="single"/>
          <w:shd w:val="clear" w:color="auto" w:fill="FFFFFF"/>
          <w:lang w:bidi="ar"/>
        </w:rPr>
        <w:t>      </w:t>
      </w:r>
      <w:r>
        <w:rPr>
          <w:rStyle w:val="24"/>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方式提供的金额为人民币</w:t>
      </w:r>
      <w:r>
        <w:rPr>
          <w:rFonts w:hint="eastAsia" w:ascii="宋体" w:hAnsi="宋体" w:cs="宋体"/>
          <w:color w:val="auto"/>
          <w:kern w:val="0"/>
          <w:sz w:val="24"/>
          <w:highlight w:val="none"/>
          <w:u w:val="single"/>
          <w:shd w:val="clear" w:color="auto" w:fill="FFFFFF"/>
          <w:lang w:bidi="ar"/>
        </w:rPr>
        <w:t>       </w:t>
      </w:r>
      <w:r>
        <w:rPr>
          <w:rStyle w:val="24"/>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元的保证金，已到指定账户。</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四、获得成交供货资格后若无法按约定条款履行义务或有拆、换设备及零件，贵方有权取消我方成交资格，完全接受按采购有关法规对我方的处罚。</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五、我方同意提供按照贵方可能要求的与其竞价有关的一切数据或资料。完全理解贵方不一定要接受收到的任何竞价。</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竞价人（</w:t>
      </w:r>
      <w:r>
        <w:rPr>
          <w:rFonts w:hint="eastAsia" w:ascii="宋体" w:hAnsi="宋体" w:cs="宋体"/>
          <w:color w:val="auto"/>
          <w:sz w:val="24"/>
          <w:highlight w:val="none"/>
        </w:rPr>
        <w:t>全称并加盖竞价人公章</w:t>
      </w:r>
      <w:r>
        <w:rPr>
          <w:rFonts w:hint="eastAsia" w:ascii="宋体" w:hAnsi="宋体" w:cs="宋体"/>
          <w:color w:val="auto"/>
          <w:kern w:val="0"/>
          <w:sz w:val="24"/>
          <w:highlight w:val="none"/>
          <w:shd w:val="clear" w:color="auto" w:fill="FFFFFF"/>
          <w:lang w:bidi="ar"/>
        </w:rPr>
        <w:t>）：</w:t>
      </w:r>
      <w:r>
        <w:rPr>
          <w:rFonts w:hint="eastAsia" w:ascii="宋体" w:hAnsi="宋体" w:cs="宋体"/>
          <w:color w:val="auto"/>
          <w:kern w:val="0"/>
          <w:sz w:val="24"/>
          <w:highlight w:val="none"/>
          <w:u w:val="single"/>
          <w:shd w:val="clear" w:color="auto" w:fill="FFFFFF"/>
          <w:lang w:bidi="ar"/>
        </w:rPr>
        <w:t xml:space="preserve">              </w:t>
      </w: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Style w:val="24"/>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电话：</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      </w:t>
      </w:r>
      <w:r>
        <w:rPr>
          <w:rStyle w:val="24"/>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传真：</w:t>
      </w:r>
      <w:r>
        <w:rPr>
          <w:rFonts w:hint="eastAsia" w:ascii="宋体" w:hAnsi="宋体" w:cs="宋体"/>
          <w:color w:val="auto"/>
          <w:kern w:val="0"/>
          <w:sz w:val="24"/>
          <w:highlight w:val="none"/>
          <w:u w:val="single"/>
          <w:shd w:val="clear" w:color="auto" w:fill="FFFFFF"/>
          <w:lang w:bidi="ar"/>
        </w:rPr>
        <w:t xml:space="preserve">              </w:t>
      </w: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竞价人单位负责人(或竞价人代表)签字：</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日期：</w:t>
      </w:r>
      <w:r>
        <w:rPr>
          <w:rFonts w:hint="eastAsia" w:ascii="宋体" w:hAnsi="宋体" w:cs="宋体"/>
          <w:color w:val="auto"/>
          <w:kern w:val="0"/>
          <w:sz w:val="24"/>
          <w:highlight w:val="none"/>
          <w:u w:val="single"/>
          <w:shd w:val="clear" w:color="auto" w:fill="FFFFFF"/>
          <w:lang w:bidi="ar"/>
        </w:rPr>
        <w:t>    </w:t>
      </w:r>
      <w:r>
        <w:rPr>
          <w:rStyle w:val="24"/>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年   </w:t>
      </w:r>
      <w:r>
        <w:rPr>
          <w:rStyle w:val="24"/>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月  </w:t>
      </w:r>
      <w:r>
        <w:rPr>
          <w:rStyle w:val="24"/>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日</w:t>
      </w:r>
    </w:p>
    <w:p>
      <w:pPr>
        <w:spacing w:line="400" w:lineRule="exact"/>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3"/>
        <w:spacing w:line="360" w:lineRule="auto"/>
        <w:jc w:val="center"/>
        <w:outlineLvl w:val="9"/>
        <w:rPr>
          <w:rFonts w:hAnsi="宋体" w:cs="宋体"/>
          <w:b/>
          <w:color w:val="auto"/>
          <w:szCs w:val="28"/>
          <w:highlight w:val="none"/>
        </w:rPr>
      </w:pPr>
    </w:p>
    <w:p>
      <w:pPr>
        <w:pStyle w:val="23"/>
        <w:spacing w:line="360" w:lineRule="auto"/>
        <w:jc w:val="center"/>
        <w:outlineLvl w:val="9"/>
        <w:rPr>
          <w:rFonts w:hAnsi="宋体" w:cs="宋体"/>
          <w:b/>
          <w:color w:val="auto"/>
          <w:szCs w:val="28"/>
          <w:highlight w:val="none"/>
        </w:rPr>
      </w:pPr>
      <w:bookmarkStart w:id="41" w:name="_Toc26806"/>
      <w:bookmarkStart w:id="42" w:name="_Toc17628"/>
      <w:bookmarkStart w:id="43" w:name="_Toc15092"/>
      <w:r>
        <w:rPr>
          <w:rFonts w:hint="eastAsia" w:hAnsi="宋体" w:cs="宋体"/>
          <w:b/>
          <w:color w:val="auto"/>
          <w:szCs w:val="28"/>
          <w:highlight w:val="none"/>
        </w:rPr>
        <w:t>2、竞价人的资格声明</w:t>
      </w:r>
      <w:bookmarkEnd w:id="41"/>
      <w:bookmarkEnd w:id="42"/>
      <w:bookmarkEnd w:id="43"/>
    </w:p>
    <w:p>
      <w:pPr>
        <w:pStyle w:val="23"/>
        <w:spacing w:line="360" w:lineRule="auto"/>
        <w:jc w:val="center"/>
        <w:outlineLvl w:val="9"/>
        <w:rPr>
          <w:rFonts w:hAnsi="宋体" w:cs="宋体"/>
          <w:b/>
          <w:color w:val="auto"/>
          <w:szCs w:val="28"/>
          <w:highlight w:val="none"/>
        </w:rPr>
      </w:pPr>
    </w:p>
    <w:p>
      <w:pPr>
        <w:pStyle w:val="23"/>
        <w:spacing w:line="360" w:lineRule="auto"/>
        <w:jc w:val="center"/>
        <w:outlineLvl w:val="9"/>
        <w:rPr>
          <w:rFonts w:hAnsi="宋体" w:cs="宋体"/>
          <w:b/>
          <w:color w:val="auto"/>
          <w:szCs w:val="28"/>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福建农林大学</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（项目编号）竞价邀请，本签字人愿意参加竞价，提供竞价文件“竞价内容及要求”中规定的</w:t>
      </w:r>
      <w:r>
        <w:rPr>
          <w:rFonts w:hint="eastAsia" w:ascii="宋体" w:hAnsi="宋体"/>
          <w:color w:val="auto"/>
          <w:sz w:val="24"/>
          <w:highlight w:val="none"/>
          <w:u w:val="single"/>
        </w:rPr>
        <w:t xml:space="preserve">          </w:t>
      </w:r>
      <w:r>
        <w:rPr>
          <w:rFonts w:hint="eastAsia" w:ascii="宋体" w:hAnsi="宋体"/>
          <w:color w:val="auto"/>
          <w:sz w:val="24"/>
          <w:highlight w:val="none"/>
        </w:rPr>
        <w:t>（合同包/品目号）</w:t>
      </w:r>
      <w:r>
        <w:rPr>
          <w:rFonts w:hint="eastAsia" w:ascii="宋体" w:hAnsi="宋体"/>
          <w:color w:val="auto"/>
          <w:sz w:val="24"/>
          <w:highlight w:val="none"/>
          <w:u w:val="single"/>
        </w:rPr>
        <w:t xml:space="preserve">         </w:t>
      </w:r>
      <w:r>
        <w:rPr>
          <w:rFonts w:hint="eastAsia" w:ascii="宋体" w:hAnsi="宋体"/>
          <w:color w:val="auto"/>
          <w:sz w:val="24"/>
          <w:highlight w:val="none"/>
        </w:rPr>
        <w:t>（项目名称），并证明提交的下列文件和说明是准确的和真实的。</w:t>
      </w:r>
      <w:r>
        <w:rPr>
          <w:rFonts w:hint="eastAsia" w:ascii="宋体" w:hAnsi="宋体"/>
          <w:color w:val="auto"/>
          <w:sz w:val="24"/>
          <w:highlight w:val="none"/>
        </w:rPr>
        <w:cr/>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1．本签字人确认资格文件中的说明以及报名材料中所有提交的文件和材料是真实的、准确的。</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2．我方的资格声明一份。</w:t>
      </w:r>
    </w:p>
    <w:p>
      <w:pPr>
        <w:pStyle w:val="23"/>
        <w:spacing w:line="360" w:lineRule="auto"/>
        <w:jc w:val="center"/>
        <w:outlineLvl w:val="9"/>
        <w:rPr>
          <w:rFonts w:hAnsi="宋体" w:cs="宋体"/>
          <w:b/>
          <w:color w:val="auto"/>
          <w:szCs w:val="28"/>
          <w:highlight w:val="none"/>
        </w:rPr>
      </w:pPr>
    </w:p>
    <w:p>
      <w:pPr>
        <w:pStyle w:val="23"/>
        <w:spacing w:line="360" w:lineRule="auto"/>
        <w:jc w:val="center"/>
        <w:outlineLvl w:val="9"/>
        <w:rPr>
          <w:rFonts w:hAnsi="宋体" w:cs="宋体"/>
          <w:b/>
          <w:color w:val="auto"/>
          <w:szCs w:val="28"/>
          <w:highlight w:val="none"/>
        </w:rPr>
      </w:pP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竞价人（全称并加盖公章）：</w:t>
      </w: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竞价人代表签字：</w:t>
      </w: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日期：</w:t>
      </w:r>
    </w:p>
    <w:p>
      <w:pPr>
        <w:pStyle w:val="23"/>
        <w:spacing w:line="360" w:lineRule="auto"/>
        <w:jc w:val="center"/>
        <w:outlineLvl w:val="9"/>
        <w:rPr>
          <w:rFonts w:hAnsi="宋体" w:cs="宋体"/>
          <w:b/>
          <w:color w:val="auto"/>
          <w:szCs w:val="28"/>
          <w:highlight w:val="none"/>
        </w:rPr>
        <w:sectPr>
          <w:pgSz w:w="11906" w:h="16838"/>
          <w:pgMar w:top="1247" w:right="924" w:bottom="1089" w:left="1259" w:header="851" w:footer="646" w:gutter="0"/>
          <w:cols w:space="720" w:num="1"/>
          <w:docGrid w:linePitch="312" w:charSpace="0"/>
        </w:sectPr>
      </w:pPr>
    </w:p>
    <w:p>
      <w:pPr>
        <w:pStyle w:val="23"/>
        <w:spacing w:line="360" w:lineRule="auto"/>
        <w:jc w:val="center"/>
        <w:outlineLvl w:val="9"/>
        <w:rPr>
          <w:rFonts w:hAnsi="宋体" w:cs="宋体"/>
          <w:b/>
          <w:color w:val="auto"/>
          <w:szCs w:val="28"/>
          <w:highlight w:val="none"/>
        </w:rPr>
        <w:sectPr>
          <w:pgSz w:w="11906" w:h="16838"/>
          <w:pgMar w:top="1247" w:right="924" w:bottom="1089" w:left="1259" w:header="851" w:footer="646" w:gutter="0"/>
          <w:cols w:space="720" w:num="1"/>
          <w:docGrid w:linePitch="312" w:charSpace="0"/>
        </w:sectPr>
      </w:pPr>
      <w:bookmarkStart w:id="44" w:name="_Toc18639"/>
      <w:bookmarkStart w:id="45" w:name="_Toc7234"/>
      <w:bookmarkStart w:id="46" w:name="_Toc5351"/>
      <w:r>
        <w:rPr>
          <w:rFonts w:hint="eastAsia" w:hAnsi="宋体" w:cs="宋体"/>
          <w:b/>
          <w:color w:val="auto"/>
          <w:szCs w:val="28"/>
          <w:highlight w:val="none"/>
        </w:rPr>
        <w:t>3、有效营业执照副本复印件等证明文件</w:t>
      </w:r>
      <w:bookmarkEnd w:id="44"/>
      <w:bookmarkEnd w:id="45"/>
      <w:bookmarkEnd w:id="46"/>
    </w:p>
    <w:p>
      <w:pPr>
        <w:pStyle w:val="23"/>
        <w:spacing w:line="360" w:lineRule="auto"/>
        <w:outlineLvl w:val="9"/>
        <w:rPr>
          <w:rFonts w:hAnsi="宋体" w:cs="宋体"/>
          <w:b/>
          <w:color w:val="auto"/>
          <w:szCs w:val="28"/>
          <w:highlight w:val="none"/>
        </w:rPr>
      </w:pPr>
    </w:p>
    <w:p>
      <w:pPr>
        <w:pStyle w:val="23"/>
        <w:spacing w:line="360" w:lineRule="auto"/>
        <w:jc w:val="center"/>
        <w:outlineLvl w:val="9"/>
        <w:rPr>
          <w:rFonts w:hAnsi="宋体" w:cs="宋体"/>
          <w:b/>
          <w:color w:val="auto"/>
          <w:szCs w:val="28"/>
          <w:highlight w:val="none"/>
        </w:rPr>
      </w:pPr>
      <w:bookmarkStart w:id="47" w:name="_Toc18551"/>
      <w:bookmarkStart w:id="48" w:name="_Toc12850"/>
      <w:bookmarkStart w:id="49" w:name="_Toc11585"/>
      <w:r>
        <w:rPr>
          <w:rFonts w:hint="eastAsia" w:hAnsi="宋体" w:cs="宋体"/>
          <w:b/>
          <w:color w:val="auto"/>
          <w:szCs w:val="28"/>
          <w:highlight w:val="none"/>
        </w:rPr>
        <w:t>4、单位负责人授权书</w:t>
      </w:r>
      <w:bookmarkEnd w:id="47"/>
      <w:bookmarkEnd w:id="48"/>
      <w:bookmarkEnd w:id="49"/>
    </w:p>
    <w:p>
      <w:pPr>
        <w:pStyle w:val="14"/>
        <w:spacing w:before="0" w:beforeAutospacing="0" w:after="0" w:afterAutospacing="0" w:line="420" w:lineRule="exact"/>
        <w:rPr>
          <w:color w:val="auto"/>
          <w:highlight w:val="none"/>
        </w:rPr>
      </w:pPr>
      <w:r>
        <w:rPr>
          <w:rFonts w:hint="eastAsia"/>
          <w:color w:val="auto"/>
          <w:highlight w:val="none"/>
        </w:rPr>
        <w:t>致：</w:t>
      </w:r>
      <w:r>
        <w:rPr>
          <w:rFonts w:hint="eastAsia"/>
          <w:color w:val="auto"/>
          <w:highlight w:val="none"/>
          <w:u w:val="single"/>
        </w:rPr>
        <w:t>福建农林大学</w:t>
      </w:r>
    </w:p>
    <w:p>
      <w:pPr>
        <w:pStyle w:val="14"/>
        <w:spacing w:before="0" w:beforeAutospacing="0" w:after="0" w:afterAutospacing="0" w:line="420" w:lineRule="exact"/>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（填写“竞价人代表全名”）</w:t>
      </w:r>
      <w:r>
        <w:rPr>
          <w:rFonts w:hint="eastAsia"/>
          <w:color w:val="auto"/>
          <w:highlight w:val="none"/>
        </w:rPr>
        <w:t>为竞价人代表，代表我方参加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竞价报名、竞价、递交响应文件、签约等。竞价人代表在竞价过程中所签署的一切文件和处理与之有关的一切事务，我方均予以认可并对此承担责任。</w:t>
      </w:r>
    </w:p>
    <w:p>
      <w:pPr>
        <w:pStyle w:val="14"/>
        <w:spacing w:before="0" w:beforeAutospacing="0" w:after="0" w:afterAutospacing="0" w:line="420" w:lineRule="exact"/>
        <w:ind w:firstLine="336"/>
        <w:rPr>
          <w:color w:val="auto"/>
          <w:highlight w:val="none"/>
        </w:rPr>
      </w:pPr>
      <w:r>
        <w:rPr>
          <w:rFonts w:hint="eastAsia"/>
          <w:color w:val="auto"/>
          <w:highlight w:val="none"/>
        </w:rPr>
        <w:t>竞价人代表无转委权。特此授权。</w:t>
      </w:r>
    </w:p>
    <w:p>
      <w:pPr>
        <w:pStyle w:val="14"/>
        <w:spacing w:before="0" w:beforeAutospacing="0" w:after="0" w:afterAutospacing="0" w:line="420" w:lineRule="exact"/>
        <w:jc w:val="center"/>
        <w:outlineLvl w:val="0"/>
        <w:rPr>
          <w:color w:val="auto"/>
          <w:highlight w:val="none"/>
        </w:rPr>
      </w:pPr>
      <w:bookmarkStart w:id="50" w:name="_Toc22385"/>
      <w:bookmarkStart w:id="51" w:name="_Toc29826"/>
      <w:bookmarkStart w:id="52" w:name="_Toc7255"/>
      <w:r>
        <w:rPr>
          <w:rFonts w:hint="eastAsia"/>
          <w:color w:val="auto"/>
          <w:highlight w:val="none"/>
        </w:rPr>
        <w:t>（以下无正文）</w:t>
      </w:r>
      <w:bookmarkEnd w:id="50"/>
      <w:bookmarkEnd w:id="51"/>
      <w:bookmarkEnd w:id="52"/>
    </w:p>
    <w:p>
      <w:pPr>
        <w:pStyle w:val="14"/>
        <w:spacing w:before="0" w:beforeAutospacing="0" w:after="0" w:afterAutospacing="0" w:line="420" w:lineRule="exact"/>
        <w:rPr>
          <w:color w:val="auto"/>
          <w:highlight w:val="none"/>
        </w:rPr>
      </w:pPr>
      <w:r>
        <w:rPr>
          <w:rFonts w:hint="eastAsia"/>
          <w:color w:val="auto"/>
          <w:highlight w:val="none"/>
        </w:rPr>
        <w:t> </w:t>
      </w:r>
    </w:p>
    <w:p>
      <w:pPr>
        <w:pStyle w:val="14"/>
        <w:spacing w:before="0" w:beforeAutospacing="0" w:after="0" w:afterAutospacing="0" w:line="420" w:lineRule="exact"/>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4"/>
        <w:spacing w:before="0" w:beforeAutospacing="0" w:after="0" w:afterAutospacing="0" w:line="420" w:lineRule="exact"/>
        <w:rPr>
          <w:color w:val="auto"/>
          <w:highlight w:val="none"/>
          <w:u w:val="single"/>
        </w:rPr>
      </w:pPr>
      <w:r>
        <w:rPr>
          <w:rFonts w:hint="eastAsia"/>
          <w:color w:val="auto"/>
          <w:highlight w:val="none"/>
        </w:rPr>
        <w:t>竞价人代表：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4"/>
        <w:spacing w:before="0" w:beforeAutospacing="0" w:after="0" w:afterAutospacing="0" w:line="420" w:lineRule="exact"/>
        <w:rPr>
          <w:color w:val="auto"/>
          <w:highlight w:val="none"/>
          <w:u w:val="single"/>
        </w:rPr>
      </w:pPr>
    </w:p>
    <w:p>
      <w:pPr>
        <w:pStyle w:val="14"/>
        <w:spacing w:before="0" w:beforeAutospacing="0" w:after="0" w:afterAutospacing="0" w:line="420" w:lineRule="exact"/>
        <w:rPr>
          <w:color w:val="auto"/>
          <w:highlight w:val="none"/>
        </w:rPr>
      </w:pPr>
      <w:r>
        <w:rPr>
          <w:rFonts w:hint="eastAsia"/>
          <w:color w:val="auto"/>
          <w:highlight w:val="none"/>
        </w:rPr>
        <w:t>授权方</w:t>
      </w:r>
    </w:p>
    <w:p>
      <w:pPr>
        <w:pStyle w:val="14"/>
        <w:spacing w:before="0" w:beforeAutospacing="0" w:after="0" w:afterAutospacing="0" w:line="420" w:lineRule="exact"/>
        <w:rPr>
          <w:color w:val="auto"/>
          <w:highlight w:val="none"/>
        </w:rPr>
      </w:pPr>
      <w:r>
        <w:rPr>
          <w:rFonts w:hint="eastAsia"/>
          <w:color w:val="auto"/>
          <w:highlight w:val="none"/>
        </w:rPr>
        <w:t>竞价人：</w:t>
      </w:r>
      <w:r>
        <w:rPr>
          <w:rFonts w:hint="eastAsia"/>
          <w:color w:val="auto"/>
          <w:highlight w:val="none"/>
          <w:u w:val="single"/>
        </w:rPr>
        <w:t>（全称并加盖单位公章）</w:t>
      </w:r>
    </w:p>
    <w:p>
      <w:pPr>
        <w:pStyle w:val="14"/>
        <w:spacing w:before="0" w:beforeAutospacing="0" w:after="0" w:afterAutospacing="0" w:line="420" w:lineRule="exact"/>
        <w:rPr>
          <w:color w:val="auto"/>
          <w:highlight w:val="none"/>
        </w:rPr>
      </w:pPr>
      <w:r>
        <w:rPr>
          <w:rFonts w:hint="eastAsia"/>
          <w:color w:val="auto"/>
          <w:highlight w:val="none"/>
        </w:rPr>
        <w:t>单位负责人签字或盖章：</w:t>
      </w:r>
      <w:r>
        <w:rPr>
          <w:rFonts w:hint="eastAsia"/>
          <w:color w:val="auto"/>
          <w:highlight w:val="none"/>
          <w:u w:val="single"/>
        </w:rPr>
        <w:t>                   </w:t>
      </w:r>
    </w:p>
    <w:p>
      <w:pPr>
        <w:pStyle w:val="14"/>
        <w:spacing w:before="0" w:beforeAutospacing="0" w:after="0" w:afterAutospacing="0" w:line="420" w:lineRule="exact"/>
        <w:rPr>
          <w:color w:val="auto"/>
          <w:highlight w:val="none"/>
        </w:rPr>
      </w:pPr>
      <w:r>
        <w:rPr>
          <w:rFonts w:hint="eastAsia"/>
          <w:color w:val="auto"/>
          <w:highlight w:val="none"/>
        </w:rPr>
        <w:t> </w:t>
      </w:r>
    </w:p>
    <w:p>
      <w:pPr>
        <w:pStyle w:val="14"/>
        <w:spacing w:before="0" w:beforeAutospacing="0" w:after="0" w:afterAutospacing="0" w:line="420" w:lineRule="exact"/>
        <w:rPr>
          <w:color w:val="auto"/>
          <w:highlight w:val="none"/>
        </w:rPr>
      </w:pPr>
      <w:r>
        <w:rPr>
          <w:rFonts w:hint="eastAsia"/>
          <w:color w:val="auto"/>
          <w:highlight w:val="none"/>
        </w:rPr>
        <w:t>接受授权方</w:t>
      </w:r>
    </w:p>
    <w:p>
      <w:pPr>
        <w:pStyle w:val="14"/>
        <w:spacing w:before="0" w:beforeAutospacing="0" w:after="0" w:afterAutospacing="0" w:line="420" w:lineRule="exact"/>
        <w:rPr>
          <w:color w:val="auto"/>
          <w:highlight w:val="none"/>
        </w:rPr>
      </w:pPr>
      <w:r>
        <w:rPr>
          <w:rFonts w:hint="eastAsia"/>
          <w:color w:val="auto"/>
          <w:highlight w:val="none"/>
        </w:rPr>
        <w:t>竞价人代表签字：</w:t>
      </w:r>
      <w:r>
        <w:rPr>
          <w:rFonts w:hint="eastAsia"/>
          <w:color w:val="auto"/>
          <w:highlight w:val="none"/>
          <w:u w:val="single"/>
        </w:rPr>
        <w:t>                   </w:t>
      </w:r>
    </w:p>
    <w:p>
      <w:pPr>
        <w:pStyle w:val="14"/>
        <w:spacing w:before="0" w:beforeAutospacing="0" w:after="0" w:afterAutospacing="0" w:line="420" w:lineRule="exact"/>
        <w:rPr>
          <w:color w:val="auto"/>
          <w:highlight w:val="none"/>
        </w:rPr>
      </w:pPr>
      <w:r>
        <w:rPr>
          <w:rFonts w:hint="eastAsia"/>
          <w:color w:val="auto"/>
          <w:highlight w:val="none"/>
        </w:rPr>
        <w:t> </w:t>
      </w:r>
    </w:p>
    <w:p>
      <w:pPr>
        <w:pStyle w:val="14"/>
        <w:spacing w:before="0" w:beforeAutospacing="0" w:after="0" w:afterAutospacing="0" w:line="420" w:lineRule="exact"/>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4"/>
        <w:spacing w:before="0" w:beforeAutospacing="0" w:after="0" w:afterAutospacing="0" w:line="420" w:lineRule="exact"/>
        <w:rPr>
          <w:color w:val="auto"/>
          <w:highlight w:val="none"/>
        </w:rPr>
      </w:pPr>
      <w:r>
        <w:rPr>
          <w:rFonts w:hint="eastAsia"/>
          <w:color w:val="auto"/>
          <w:highlight w:val="none"/>
        </w:rPr>
        <w:t>附：单位负责人、竞价人代表的身份证正反面复印件</w:t>
      </w:r>
    </w:p>
    <w:tbl>
      <w:tblPr>
        <w:tblStyle w:val="16"/>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9" w:hRule="atLeast"/>
          <w:tblCellSpacing w:w="15" w:type="dxa"/>
          <w:jc w:val="center"/>
        </w:trPr>
        <w:tc>
          <w:tcPr>
            <w:tcW w:w="6560" w:type="dxa"/>
            <w:tcMar>
              <w:top w:w="0" w:type="dxa"/>
              <w:left w:w="84" w:type="dxa"/>
              <w:bottom w:w="0" w:type="dxa"/>
              <w:right w:w="84" w:type="dxa"/>
            </w:tcMar>
            <w:vAlign w:val="center"/>
          </w:tcPr>
          <w:p>
            <w:pPr>
              <w:pStyle w:val="14"/>
              <w:spacing w:before="0" w:beforeAutospacing="0" w:after="0" w:afterAutospacing="0" w:line="420" w:lineRule="exact"/>
              <w:jc w:val="center"/>
              <w:rPr>
                <w:color w:val="auto"/>
                <w:highlight w:val="none"/>
              </w:rPr>
            </w:pPr>
            <w:r>
              <w:rPr>
                <w:rStyle w:val="18"/>
                <w:rFonts w:hint="eastAsia"/>
                <w:color w:val="auto"/>
                <w:highlight w:val="none"/>
              </w:rPr>
              <w:t> </w:t>
            </w:r>
          </w:p>
          <w:p>
            <w:pPr>
              <w:pStyle w:val="14"/>
              <w:spacing w:before="0" w:beforeAutospacing="0" w:after="0" w:afterAutospacing="0" w:line="420" w:lineRule="exact"/>
              <w:jc w:val="center"/>
              <w:rPr>
                <w:color w:val="auto"/>
                <w:highlight w:val="none"/>
              </w:rPr>
            </w:pPr>
            <w:r>
              <w:rPr>
                <w:rStyle w:val="18"/>
                <w:rFonts w:hint="eastAsia"/>
                <w:color w:val="auto"/>
                <w:highlight w:val="none"/>
              </w:rPr>
              <w:t>要求：真实有效且内容完整、清晰、整洁。</w:t>
            </w:r>
          </w:p>
          <w:p>
            <w:pPr>
              <w:pStyle w:val="14"/>
              <w:spacing w:before="0" w:beforeAutospacing="0" w:after="0" w:afterAutospacing="0" w:line="420" w:lineRule="exact"/>
              <w:jc w:val="center"/>
              <w:rPr>
                <w:color w:val="auto"/>
                <w:highlight w:val="none"/>
              </w:rPr>
            </w:pPr>
            <w:r>
              <w:rPr>
                <w:rStyle w:val="18"/>
                <w:rFonts w:hint="eastAsia"/>
                <w:color w:val="auto"/>
                <w:highlight w:val="none"/>
              </w:rPr>
              <w:t> </w:t>
            </w:r>
          </w:p>
        </w:tc>
      </w:tr>
    </w:tbl>
    <w:p>
      <w:pPr>
        <w:spacing w:line="400" w:lineRule="exact"/>
        <w:rPr>
          <w:rFonts w:ascii="宋体" w:hAnsi="宋体" w:cs="宋体"/>
          <w:color w:val="auto"/>
          <w:sz w:val="24"/>
          <w:highlight w:val="none"/>
        </w:rPr>
      </w:pPr>
      <w:r>
        <w:rPr>
          <w:rFonts w:hint="eastAsia" w:ascii="宋体" w:hAnsi="宋体" w:cs="宋体"/>
          <w:color w:val="auto"/>
          <w:sz w:val="24"/>
          <w:highlight w:val="none"/>
        </w:rPr>
        <w:t>注：</w:t>
      </w:r>
    </w:p>
    <w:p>
      <w:pPr>
        <w:spacing w:line="400" w:lineRule="exact"/>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1、单位负责人（单位负责人）身份证复印件、被授权人身份证复印件须</w:t>
      </w:r>
      <w:r>
        <w:rPr>
          <w:rFonts w:hint="eastAsia" w:ascii="宋体" w:hAnsi="宋体" w:cs="宋体"/>
          <w:bCs/>
          <w:color w:val="auto"/>
          <w:kern w:val="0"/>
          <w:sz w:val="24"/>
          <w:highlight w:val="none"/>
        </w:rPr>
        <w:t>加盖单位公章，并注明与原件一致。</w:t>
      </w:r>
    </w:p>
    <w:p>
      <w:pPr>
        <w:spacing w:line="400" w:lineRule="exact"/>
        <w:ind w:firstLine="420"/>
        <w:rPr>
          <w:rFonts w:hAnsi="宋体" w:cs="宋体"/>
          <w:b/>
          <w:color w:val="auto"/>
          <w:szCs w:val="28"/>
          <w:highlight w:val="none"/>
        </w:rPr>
        <w:sectPr>
          <w:pgSz w:w="11906" w:h="16838"/>
          <w:pgMar w:top="1247" w:right="924" w:bottom="1089" w:left="1259" w:header="851" w:footer="646" w:gutter="0"/>
          <w:cols w:space="720" w:num="1"/>
          <w:docGrid w:linePitch="312" w:charSpace="0"/>
        </w:sect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w:t>
      </w:r>
      <w:r>
        <w:rPr>
          <w:rFonts w:hint="eastAsia" w:ascii="宋体" w:hAnsi="宋体" w:cs="宋体"/>
          <w:bCs/>
          <w:color w:val="auto"/>
          <w:kern w:val="0"/>
          <w:sz w:val="24"/>
          <w:highlight w:val="none"/>
        </w:rPr>
        <w:t>单位负责人</w:t>
      </w:r>
      <w:r>
        <w:rPr>
          <w:rFonts w:ascii="宋体" w:hAnsi="宋体" w:cs="宋体"/>
          <w:bCs/>
          <w:color w:val="auto"/>
          <w:kern w:val="0"/>
          <w:sz w:val="24"/>
          <w:highlight w:val="none"/>
        </w:rPr>
        <w:t>，即与实际提交的“营业执照等证明文件”载明的一致。以非法人身份参加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竞价人</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竞价人代表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竞价人代表</w:t>
      </w:r>
      <w:r>
        <w:rPr>
          <w:rFonts w:ascii="宋体" w:hAnsi="宋体" w:cs="宋体"/>
          <w:bCs/>
          <w:color w:val="auto"/>
          <w:kern w:val="0"/>
          <w:sz w:val="24"/>
          <w:highlight w:val="none"/>
        </w:rPr>
        <w:t>为单位负责人，应在此项下提交其身份证正反面复印件，可不提供本授权书。</w:t>
      </w:r>
    </w:p>
    <w:p>
      <w:pPr>
        <w:pStyle w:val="23"/>
        <w:spacing w:line="360" w:lineRule="auto"/>
        <w:outlineLvl w:val="9"/>
        <w:rPr>
          <w:rFonts w:hAnsi="宋体" w:cs="宋体"/>
          <w:b/>
          <w:color w:val="auto"/>
          <w:szCs w:val="28"/>
          <w:highlight w:val="none"/>
        </w:rPr>
      </w:pPr>
    </w:p>
    <w:p>
      <w:pPr>
        <w:pStyle w:val="23"/>
        <w:spacing w:line="360" w:lineRule="auto"/>
        <w:jc w:val="center"/>
        <w:outlineLvl w:val="9"/>
        <w:rPr>
          <w:rFonts w:hAnsi="宋体" w:cs="宋体"/>
          <w:b/>
          <w:color w:val="auto"/>
          <w:szCs w:val="28"/>
          <w:highlight w:val="none"/>
        </w:rPr>
      </w:pPr>
      <w:bookmarkStart w:id="53" w:name="_Toc6423"/>
      <w:bookmarkStart w:id="54" w:name="_Toc24826"/>
      <w:bookmarkStart w:id="55" w:name="_Toc15180"/>
      <w:r>
        <w:rPr>
          <w:rFonts w:hint="eastAsia" w:hAnsi="宋体" w:cs="宋体"/>
          <w:b/>
          <w:color w:val="auto"/>
          <w:szCs w:val="28"/>
          <w:highlight w:val="none"/>
        </w:rPr>
        <w:t>5、参加采购活动前3年内在经营活动中没有行贿犯罪的承诺函</w:t>
      </w:r>
      <w:bookmarkEnd w:id="53"/>
      <w:bookmarkEnd w:id="54"/>
      <w:bookmarkEnd w:id="55"/>
    </w:p>
    <w:p>
      <w:pPr>
        <w:pStyle w:val="23"/>
        <w:spacing w:line="360" w:lineRule="auto"/>
        <w:jc w:val="center"/>
        <w:outlineLvl w:val="9"/>
        <w:rPr>
          <w:rFonts w:hAnsi="宋体" w:cs="宋体"/>
          <w:b/>
          <w:color w:val="auto"/>
          <w:szCs w:val="28"/>
          <w:highlight w:val="none"/>
        </w:rPr>
      </w:pPr>
    </w:p>
    <w:p>
      <w:pPr>
        <w:pStyle w:val="23"/>
        <w:spacing w:line="360" w:lineRule="auto"/>
        <w:jc w:val="center"/>
        <w:outlineLvl w:val="9"/>
        <w:rPr>
          <w:rFonts w:hAnsi="宋体" w:cs="宋体"/>
          <w:b/>
          <w:color w:val="auto"/>
          <w:szCs w:val="28"/>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福建农林大学</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项目</w:t>
      </w:r>
      <w:r>
        <w:rPr>
          <w:rFonts w:hint="eastAsia" w:ascii="宋体" w:hAnsi="宋体"/>
          <w:color w:val="auto"/>
          <w:sz w:val="24"/>
          <w:highlight w:val="none"/>
        </w:rPr>
        <w:t>的竞价文件，我们作为竞价人已熟知、清楚，愿意参加竞价并承诺如下：</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我公司在参加本次采购活动前3年内，在经营活动中无行贿犯罪。</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特此承诺！</w:t>
      </w:r>
    </w:p>
    <w:p>
      <w:pPr>
        <w:spacing w:line="360" w:lineRule="auto"/>
        <w:ind w:firstLine="480"/>
        <w:jc w:val="left"/>
        <w:rPr>
          <w:rFonts w:ascii="宋体" w:hAnsi="宋体"/>
          <w:color w:val="auto"/>
          <w:sz w:val="24"/>
          <w:highlight w:val="none"/>
        </w:rPr>
      </w:pP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竞价人（全称并加盖公章）：</w:t>
      </w: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竞价人代表签字：</w:t>
      </w:r>
    </w:p>
    <w:p>
      <w:pPr>
        <w:spacing w:line="360" w:lineRule="auto"/>
        <w:ind w:firstLine="3240" w:firstLineChars="1350"/>
        <w:jc w:val="left"/>
        <w:rPr>
          <w:rFonts w:ascii="宋体" w:hAnsi="宋体" w:cs="宋体"/>
          <w:b/>
          <w:color w:val="auto"/>
          <w:sz w:val="28"/>
          <w:szCs w:val="28"/>
          <w:highlight w:val="none"/>
        </w:rPr>
      </w:pPr>
      <w:r>
        <w:rPr>
          <w:rFonts w:hint="eastAsia" w:ascii="宋体" w:hAnsi="宋体"/>
          <w:color w:val="auto"/>
          <w:sz w:val="24"/>
          <w:highlight w:val="none"/>
        </w:rPr>
        <w:t>日期：</w:t>
      </w:r>
    </w:p>
    <w:p>
      <w:pPr>
        <w:spacing w:line="400" w:lineRule="exact"/>
        <w:rPr>
          <w:rFonts w:hAnsi="宋体" w:cs="宋体"/>
          <w:b/>
          <w:color w:val="auto"/>
          <w:sz w:val="28"/>
          <w:szCs w:val="28"/>
          <w:highlight w:val="none"/>
        </w:rPr>
      </w:pPr>
    </w:p>
    <w:p>
      <w:pPr>
        <w:rPr>
          <w:color w:val="auto"/>
          <w:highlight w:val="none"/>
        </w:rPr>
      </w:pPr>
    </w:p>
    <w:p>
      <w:pPr>
        <w:rPr>
          <w:color w:val="auto"/>
          <w:highlight w:val="none"/>
        </w:rPr>
      </w:pPr>
    </w:p>
    <w:p>
      <w:pPr>
        <w:pStyle w:val="9"/>
        <w:spacing w:line="360" w:lineRule="auto"/>
        <w:ind w:firstLine="422" w:firstLineChars="150"/>
        <w:rPr>
          <w:rFonts w:hAnsi="宋体"/>
          <w:b/>
          <w:color w:val="auto"/>
          <w:sz w:val="28"/>
          <w:szCs w:val="28"/>
          <w:highlight w:val="none"/>
        </w:rPr>
      </w:pPr>
    </w:p>
    <w:p>
      <w:pPr>
        <w:pStyle w:val="9"/>
        <w:spacing w:line="360" w:lineRule="auto"/>
        <w:ind w:firstLine="422" w:firstLineChars="150"/>
        <w:rPr>
          <w:rFonts w:hAnsi="宋体"/>
          <w:b/>
          <w:color w:val="auto"/>
          <w:sz w:val="28"/>
          <w:szCs w:val="28"/>
          <w:highlight w:val="none"/>
        </w:rPr>
      </w:pPr>
    </w:p>
    <w:p>
      <w:pPr>
        <w:pStyle w:val="9"/>
        <w:spacing w:line="360" w:lineRule="auto"/>
        <w:ind w:firstLine="422" w:firstLineChars="150"/>
        <w:rPr>
          <w:rFonts w:hAnsi="宋体"/>
          <w:b/>
          <w:color w:val="auto"/>
          <w:sz w:val="28"/>
          <w:szCs w:val="28"/>
          <w:highlight w:val="none"/>
        </w:rPr>
      </w:pPr>
    </w:p>
    <w:p>
      <w:pPr>
        <w:pStyle w:val="9"/>
        <w:spacing w:line="360" w:lineRule="auto"/>
        <w:ind w:firstLine="422" w:firstLineChars="150"/>
        <w:rPr>
          <w:rFonts w:hAnsi="宋体"/>
          <w:b/>
          <w:color w:val="auto"/>
          <w:sz w:val="28"/>
          <w:szCs w:val="28"/>
          <w:highlight w:val="none"/>
        </w:rPr>
      </w:pPr>
    </w:p>
    <w:p>
      <w:pPr>
        <w:pStyle w:val="9"/>
        <w:spacing w:line="360" w:lineRule="auto"/>
        <w:ind w:firstLine="422" w:firstLineChars="150"/>
        <w:rPr>
          <w:rFonts w:hAnsi="宋体"/>
          <w:b/>
          <w:color w:val="auto"/>
          <w:sz w:val="28"/>
          <w:szCs w:val="28"/>
          <w:highlight w:val="none"/>
        </w:rPr>
      </w:pPr>
    </w:p>
    <w:p>
      <w:pPr>
        <w:pStyle w:val="9"/>
        <w:spacing w:line="360" w:lineRule="auto"/>
        <w:ind w:firstLine="422" w:firstLineChars="150"/>
        <w:rPr>
          <w:rFonts w:hAnsi="宋体"/>
          <w:b/>
          <w:color w:val="auto"/>
          <w:sz w:val="28"/>
          <w:szCs w:val="28"/>
          <w:highlight w:val="none"/>
        </w:rPr>
      </w:pPr>
    </w:p>
    <w:p>
      <w:pPr>
        <w:pStyle w:val="9"/>
        <w:spacing w:line="360" w:lineRule="auto"/>
        <w:ind w:firstLine="422" w:firstLineChars="150"/>
        <w:rPr>
          <w:rFonts w:hAnsi="宋体"/>
          <w:b/>
          <w:color w:val="auto"/>
          <w:sz w:val="28"/>
          <w:szCs w:val="28"/>
          <w:highlight w:val="none"/>
        </w:rPr>
      </w:pPr>
    </w:p>
    <w:p>
      <w:pPr>
        <w:pStyle w:val="9"/>
        <w:spacing w:line="360" w:lineRule="auto"/>
        <w:ind w:firstLine="422" w:firstLineChars="150"/>
        <w:rPr>
          <w:rFonts w:hAnsi="宋体"/>
          <w:b/>
          <w:color w:val="auto"/>
          <w:sz w:val="28"/>
          <w:szCs w:val="28"/>
          <w:highlight w:val="none"/>
        </w:rPr>
      </w:pPr>
    </w:p>
    <w:p>
      <w:pPr>
        <w:spacing w:line="360" w:lineRule="auto"/>
        <w:rPr>
          <w:rFonts w:ascii="宋体" w:hAnsi="宋体"/>
          <w:b/>
          <w:color w:val="auto"/>
          <w:sz w:val="36"/>
          <w:highlight w:val="none"/>
        </w:rPr>
      </w:pPr>
    </w:p>
    <w:p>
      <w:pPr>
        <w:spacing w:line="360" w:lineRule="auto"/>
        <w:jc w:val="center"/>
        <w:rPr>
          <w:rFonts w:ascii="宋体" w:hAnsi="宋体"/>
          <w:b/>
          <w:color w:val="auto"/>
          <w:sz w:val="36"/>
          <w:highlight w:val="none"/>
        </w:rPr>
      </w:pPr>
    </w:p>
    <w:p>
      <w:pPr>
        <w:pStyle w:val="5"/>
        <w:rPr>
          <w:color w:val="auto"/>
          <w:highlight w:val="none"/>
        </w:rPr>
      </w:pPr>
    </w:p>
    <w:p>
      <w:pPr>
        <w:spacing w:line="360" w:lineRule="auto"/>
        <w:jc w:val="center"/>
        <w:rPr>
          <w:rFonts w:ascii="宋体" w:hAnsi="宋体"/>
          <w:b/>
          <w:color w:val="auto"/>
          <w:sz w:val="36"/>
          <w:highlight w:val="none"/>
        </w:rPr>
      </w:pPr>
    </w:p>
    <w:p>
      <w:pPr>
        <w:spacing w:line="360" w:lineRule="auto"/>
        <w:jc w:val="center"/>
        <w:rPr>
          <w:color w:val="auto"/>
          <w:sz w:val="36"/>
          <w:szCs w:val="36"/>
          <w:highlight w:val="none"/>
        </w:rPr>
      </w:pPr>
      <w:r>
        <w:rPr>
          <w:rFonts w:hint="eastAsia" w:ascii="宋体" w:hAnsi="宋体"/>
          <w:b/>
          <w:color w:val="auto"/>
          <w:sz w:val="36"/>
          <w:szCs w:val="36"/>
          <w:highlight w:val="none"/>
        </w:rPr>
        <w:t>6、技术商务响应承诺函</w:t>
      </w:r>
    </w:p>
    <w:p>
      <w:pPr>
        <w:spacing w:line="360" w:lineRule="auto"/>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福建农林大学</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项目</w:t>
      </w:r>
      <w:r>
        <w:rPr>
          <w:rFonts w:hint="eastAsia" w:ascii="宋体" w:hAnsi="宋体"/>
          <w:color w:val="auto"/>
          <w:sz w:val="24"/>
          <w:highlight w:val="none"/>
        </w:rPr>
        <w:t>的竞价文件，我们作为竞价人已熟知、清楚，愿意参加竞价并承诺如下：</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我公司已理解且完全响应本项目竞价文件第二章“网上竞价内容及要求”中“二、技术参数及商务条款”的各项要求。</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特此承诺！</w:t>
      </w:r>
    </w:p>
    <w:p>
      <w:pPr>
        <w:spacing w:line="360" w:lineRule="auto"/>
        <w:ind w:firstLine="480"/>
        <w:jc w:val="left"/>
        <w:rPr>
          <w:rFonts w:ascii="宋体" w:hAnsi="宋体"/>
          <w:color w:val="auto"/>
          <w:sz w:val="24"/>
          <w:highlight w:val="none"/>
        </w:rPr>
      </w:pPr>
    </w:p>
    <w:p>
      <w:pPr>
        <w:pStyle w:val="5"/>
        <w:ind w:firstLine="0"/>
        <w:rPr>
          <w:rFonts w:ascii="宋体" w:hAnsi="宋体"/>
          <w:b/>
          <w:color w:val="auto"/>
          <w:sz w:val="36"/>
          <w:highlight w:val="none"/>
        </w:rPr>
      </w:pPr>
    </w:p>
    <w:p>
      <w:pPr>
        <w:pStyle w:val="6"/>
        <w:rPr>
          <w:rFonts w:ascii="宋体" w:hAnsi="宋体"/>
          <w:color w:val="auto"/>
          <w:sz w:val="24"/>
          <w:highlight w:val="none"/>
        </w:rPr>
      </w:pPr>
      <w:r>
        <w:rPr>
          <w:rFonts w:hint="eastAsia" w:ascii="宋体" w:hAnsi="宋体"/>
          <w:color w:val="auto"/>
          <w:sz w:val="24"/>
          <w:highlight w:val="none"/>
        </w:rPr>
        <w:t>注：若有要求提供证明材料的，附后。</w:t>
      </w: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竞价人（全称并加盖公章）：</w:t>
      </w: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竞价人代表签字：</w:t>
      </w:r>
    </w:p>
    <w:p>
      <w:pPr>
        <w:spacing w:line="460" w:lineRule="exact"/>
        <w:ind w:firstLine="3240" w:firstLineChars="1350"/>
        <w:jc w:val="left"/>
        <w:rPr>
          <w:rFonts w:ascii="宋体" w:hAnsi="宋体" w:cs="宋体"/>
          <w:b/>
          <w:color w:val="auto"/>
          <w:sz w:val="24"/>
          <w:highlight w:val="none"/>
        </w:rPr>
      </w:pPr>
      <w:r>
        <w:rPr>
          <w:rFonts w:hint="eastAsia" w:ascii="宋体" w:hAnsi="宋体" w:cs="宋体"/>
          <w:color w:val="auto"/>
          <w:sz w:val="24"/>
          <w:highlight w:val="none"/>
        </w:rPr>
        <w:t>日期：</w:t>
      </w: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p>
    <w:p>
      <w:pPr>
        <w:pStyle w:val="9"/>
        <w:spacing w:line="360" w:lineRule="auto"/>
        <w:rPr>
          <w:rFonts w:hAnsi="宋体"/>
          <w:b/>
          <w:color w:val="auto"/>
          <w:sz w:val="28"/>
          <w:szCs w:val="28"/>
          <w:highlight w:val="none"/>
        </w:rPr>
      </w:pPr>
    </w:p>
    <w:p>
      <w:pPr>
        <w:pStyle w:val="9"/>
        <w:spacing w:line="360" w:lineRule="auto"/>
        <w:rPr>
          <w:rFonts w:hAnsi="宋体"/>
          <w:b/>
          <w:color w:val="auto"/>
          <w:sz w:val="28"/>
          <w:szCs w:val="28"/>
          <w:highlight w:val="none"/>
        </w:rPr>
      </w:pPr>
    </w:p>
    <w:p>
      <w:pPr>
        <w:pStyle w:val="9"/>
        <w:spacing w:line="360" w:lineRule="auto"/>
        <w:rPr>
          <w:rFonts w:hAnsi="宋体"/>
          <w:b/>
          <w:color w:val="auto"/>
          <w:sz w:val="28"/>
          <w:szCs w:val="28"/>
          <w:highlight w:val="none"/>
        </w:rPr>
      </w:pPr>
    </w:p>
    <w:p>
      <w:pPr>
        <w:pStyle w:val="9"/>
        <w:spacing w:line="360" w:lineRule="auto"/>
        <w:rPr>
          <w:rFonts w:hAnsi="宋体"/>
          <w:b/>
          <w:color w:val="auto"/>
          <w:sz w:val="28"/>
          <w:szCs w:val="28"/>
          <w:highlight w:val="none"/>
        </w:rPr>
      </w:pPr>
    </w:p>
    <w:p>
      <w:pPr>
        <w:pStyle w:val="9"/>
        <w:spacing w:line="360" w:lineRule="auto"/>
        <w:rPr>
          <w:rFonts w:hAnsi="宋体"/>
          <w:b/>
          <w:color w:val="auto"/>
          <w:sz w:val="28"/>
          <w:szCs w:val="28"/>
          <w:highlight w:val="none"/>
        </w:rPr>
      </w:pPr>
    </w:p>
    <w:p>
      <w:pPr>
        <w:pStyle w:val="9"/>
        <w:spacing w:line="360" w:lineRule="auto"/>
        <w:rPr>
          <w:rFonts w:hAnsi="宋体"/>
          <w:b/>
          <w:color w:val="auto"/>
          <w:sz w:val="28"/>
          <w:szCs w:val="28"/>
          <w:highlight w:val="none"/>
        </w:rPr>
      </w:pPr>
    </w:p>
    <w:p>
      <w:pPr>
        <w:pStyle w:val="9"/>
        <w:spacing w:line="360" w:lineRule="auto"/>
        <w:rPr>
          <w:rFonts w:hAnsi="宋体"/>
          <w:b/>
          <w:color w:val="auto"/>
          <w:sz w:val="28"/>
          <w:szCs w:val="28"/>
          <w:highlight w:val="none"/>
        </w:rPr>
      </w:pPr>
    </w:p>
    <w:p>
      <w:pPr>
        <w:pStyle w:val="9"/>
        <w:spacing w:line="360" w:lineRule="auto"/>
        <w:rPr>
          <w:rFonts w:hAnsi="宋体"/>
          <w:b/>
          <w:color w:val="auto"/>
          <w:sz w:val="28"/>
          <w:szCs w:val="28"/>
          <w:highlight w:val="none"/>
        </w:rPr>
      </w:pPr>
    </w:p>
    <w:p>
      <w:pPr>
        <w:pStyle w:val="9"/>
        <w:spacing w:line="360" w:lineRule="auto"/>
        <w:rPr>
          <w:rFonts w:hAnsi="宋体"/>
          <w:b/>
          <w:color w:val="auto"/>
          <w:sz w:val="28"/>
          <w:szCs w:val="28"/>
          <w:highlight w:val="none"/>
        </w:rPr>
      </w:pPr>
    </w:p>
    <w:p>
      <w:pPr>
        <w:spacing w:line="360" w:lineRule="auto"/>
        <w:jc w:val="center"/>
        <w:rPr>
          <w:rFonts w:ascii="宋体" w:hAnsi="宋体"/>
          <w:b/>
          <w:color w:val="auto"/>
          <w:sz w:val="36"/>
          <w:highlight w:val="none"/>
        </w:rPr>
      </w:pPr>
      <w:r>
        <w:rPr>
          <w:rFonts w:hint="eastAsia" w:ascii="宋体" w:hAnsi="宋体"/>
          <w:b/>
          <w:color w:val="auto"/>
          <w:sz w:val="36"/>
          <w:highlight w:val="none"/>
        </w:rPr>
        <w:t>7、竞价人需提供的其他材料</w:t>
      </w:r>
    </w:p>
    <w:p>
      <w:pPr>
        <w:jc w:val="center"/>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6"/>
        <w:rPr>
          <w:rFonts w:ascii="宋体" w:hAnsi="宋体" w:cs="宋体"/>
          <w:bCs/>
          <w:color w:val="auto"/>
          <w:sz w:val="24"/>
          <w:highlight w:val="none"/>
        </w:rPr>
      </w:pPr>
      <w:r>
        <w:rPr>
          <w:rFonts w:hint="eastAsia" w:ascii="宋体" w:hAnsi="宋体" w:cs="宋体"/>
          <w:bCs/>
          <w:color w:val="auto"/>
          <w:sz w:val="24"/>
          <w:highlight w:val="none"/>
        </w:rPr>
        <w:t>注：竞价文件有要求的或竞价人认为应提交的其他材料可在此项下提交。</w:t>
      </w:r>
    </w:p>
    <w:p>
      <w:pPr>
        <w:pStyle w:val="5"/>
        <w:rPr>
          <w:rFonts w:ascii="楷体_GB2312" w:eastAsia="楷体_GB2312"/>
          <w:b/>
          <w:color w:val="auto"/>
          <w:sz w:val="44"/>
          <w:szCs w:val="44"/>
          <w:highlight w:val="none"/>
        </w:rPr>
      </w:pPr>
    </w:p>
    <w:p>
      <w:pPr>
        <w:pStyle w:val="6"/>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6"/>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6"/>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6"/>
        <w:rPr>
          <w:rFonts w:ascii="楷体_GB2312" w:eastAsia="楷体_GB2312"/>
          <w:b/>
          <w:color w:val="auto"/>
          <w:sz w:val="44"/>
          <w:szCs w:val="44"/>
          <w:highlight w:val="none"/>
        </w:rPr>
      </w:pPr>
    </w:p>
    <w:p>
      <w:pPr>
        <w:pStyle w:val="5"/>
        <w:rPr>
          <w:color w:val="auto"/>
          <w:highlight w:val="none"/>
        </w:rPr>
      </w:pPr>
    </w:p>
    <w:p>
      <w:pPr>
        <w:pStyle w:val="6"/>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6"/>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6"/>
        <w:ind w:left="0" w:leftChars="0"/>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6"/>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jc w:val="center"/>
        <w:outlineLvl w:val="0"/>
        <w:rPr>
          <w:b/>
          <w:bCs/>
          <w:color w:val="auto"/>
          <w:sz w:val="36"/>
          <w:szCs w:val="36"/>
          <w:highlight w:val="none"/>
        </w:rPr>
      </w:pPr>
      <w:bookmarkStart w:id="56" w:name="_Toc1456"/>
      <w:bookmarkStart w:id="57" w:name="_Toc25184"/>
      <w:r>
        <w:rPr>
          <w:rFonts w:hint="eastAsia"/>
          <w:b/>
          <w:bCs/>
          <w:color w:val="auto"/>
          <w:sz w:val="36"/>
          <w:szCs w:val="36"/>
          <w:highlight w:val="none"/>
        </w:rPr>
        <w:t>第五章  报价文件</w:t>
      </w:r>
      <w:bookmarkEnd w:id="56"/>
      <w:bookmarkEnd w:id="57"/>
    </w:p>
    <w:p>
      <w:pPr>
        <w:pStyle w:val="6"/>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6"/>
        <w:rPr>
          <w:color w:val="auto"/>
          <w:highlight w:val="none"/>
        </w:rPr>
      </w:pPr>
    </w:p>
    <w:p>
      <w:pPr>
        <w:pStyle w:val="5"/>
        <w:rPr>
          <w:color w:val="auto"/>
          <w:highlight w:val="none"/>
        </w:rPr>
      </w:pPr>
    </w:p>
    <w:p>
      <w:pPr>
        <w:pStyle w:val="8"/>
        <w:spacing w:line="500" w:lineRule="exact"/>
        <w:ind w:firstLine="562" w:firstLineChars="200"/>
        <w:rPr>
          <w:rFonts w:ascii="宋体" w:hAnsi="宋体"/>
          <w:b/>
          <w:bCs/>
          <w:color w:val="auto"/>
          <w:sz w:val="28"/>
          <w:szCs w:val="36"/>
          <w:highlight w:val="none"/>
        </w:rPr>
      </w:pPr>
      <w:r>
        <w:rPr>
          <w:rFonts w:hint="eastAsia" w:ascii="宋体" w:hAnsi="宋体"/>
          <w:b/>
          <w:bCs/>
          <w:color w:val="auto"/>
          <w:sz w:val="28"/>
          <w:szCs w:val="36"/>
          <w:highlight w:val="none"/>
        </w:rPr>
        <w:t>★注意：</w:t>
      </w:r>
    </w:p>
    <w:p>
      <w:pPr>
        <w:pStyle w:val="8"/>
        <w:spacing w:line="500" w:lineRule="exact"/>
        <w:ind w:firstLine="562" w:firstLineChars="200"/>
        <w:rPr>
          <w:rFonts w:ascii="宋体" w:hAnsi="宋体"/>
          <w:b/>
          <w:bCs/>
          <w:color w:val="auto"/>
          <w:sz w:val="28"/>
          <w:szCs w:val="36"/>
          <w:highlight w:val="none"/>
        </w:rPr>
      </w:pPr>
      <w:r>
        <w:rPr>
          <w:rFonts w:hint="eastAsia" w:ascii="宋体" w:hAnsi="宋体"/>
          <w:b/>
          <w:bCs/>
          <w:color w:val="auto"/>
          <w:sz w:val="28"/>
          <w:szCs w:val="36"/>
          <w:highlight w:val="none"/>
        </w:rPr>
        <w:t xml:space="preserve">①本报价文件在竞价过程中提供，竞价人报名时无须提供报价文件材料。 </w:t>
      </w:r>
    </w:p>
    <w:p>
      <w:pPr>
        <w:pStyle w:val="8"/>
        <w:spacing w:line="500" w:lineRule="exact"/>
        <w:ind w:firstLine="562" w:firstLineChars="200"/>
        <w:rPr>
          <w:rFonts w:ascii="宋体" w:hAnsi="宋体"/>
          <w:b/>
          <w:bCs/>
          <w:color w:val="auto"/>
          <w:sz w:val="28"/>
          <w:szCs w:val="36"/>
          <w:highlight w:val="none"/>
        </w:rPr>
      </w:pPr>
      <w:r>
        <w:rPr>
          <w:rFonts w:hint="eastAsia" w:ascii="宋体" w:hAnsi="宋体"/>
          <w:b/>
          <w:bCs/>
          <w:color w:val="auto"/>
          <w:sz w:val="28"/>
          <w:szCs w:val="36"/>
          <w:highlight w:val="none"/>
        </w:rPr>
        <w:t>②竞价人对每个项目合同包报价时都必须扫描上传有效的报价文件并加盖公章，未按要求扫描上传报价文件的报价无效。扫描上传报价文件具有法律效力。</w:t>
      </w:r>
    </w:p>
    <w:p>
      <w:pPr>
        <w:pStyle w:val="8"/>
        <w:spacing w:line="500" w:lineRule="exact"/>
        <w:ind w:firstLine="562" w:firstLineChars="200"/>
        <w:rPr>
          <w:rFonts w:ascii="楷体_GB2312" w:eastAsia="楷体_GB2312"/>
          <w:b/>
          <w:color w:val="auto"/>
          <w:sz w:val="44"/>
          <w:szCs w:val="44"/>
          <w:highlight w:val="none"/>
        </w:rPr>
      </w:pPr>
      <w:r>
        <w:rPr>
          <w:rFonts w:hint="eastAsia" w:ascii="宋体" w:hAnsi="宋体"/>
          <w:b/>
          <w:bCs/>
          <w:color w:val="auto"/>
          <w:sz w:val="28"/>
          <w:szCs w:val="36"/>
          <w:highlight w:val="none"/>
        </w:rPr>
        <w:t>③报价要求：竞价过程中未按竞价文件“第一章 竞价须知” 中“12.竞价规则说明”规定执行的，将导致报价无效。（竞价人制表时应删去此段话）</w:t>
      </w:r>
    </w:p>
    <w:p>
      <w:pPr>
        <w:pStyle w:val="2"/>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pStyle w:val="2"/>
        <w:jc w:val="center"/>
        <w:rPr>
          <w:rFonts w:cs="宋体"/>
          <w:color w:val="auto"/>
          <w:sz w:val="24"/>
          <w:highlight w:val="none"/>
        </w:rPr>
      </w:pPr>
      <w:r>
        <w:rPr>
          <w:rFonts w:hint="eastAsia" w:cs="宋体"/>
          <w:color w:val="auto"/>
          <w:sz w:val="24"/>
          <w:highlight w:val="none"/>
        </w:rPr>
        <w:t>报价一览表</w:t>
      </w:r>
    </w:p>
    <w:p>
      <w:pPr>
        <w:pStyle w:val="2"/>
        <w:rPr>
          <w:color w:val="auto"/>
          <w:sz w:val="24"/>
          <w:szCs w:val="24"/>
          <w:highlight w:val="none"/>
        </w:rPr>
      </w:pPr>
      <w:r>
        <w:rPr>
          <w:rFonts w:hint="eastAsia"/>
          <w:color w:val="auto"/>
          <w:sz w:val="24"/>
          <w:szCs w:val="24"/>
          <w:highlight w:val="none"/>
        </w:rPr>
        <w:t xml:space="preserve">竞价编号：    </w:t>
      </w:r>
    </w:p>
    <w:p>
      <w:pPr>
        <w:pStyle w:val="2"/>
        <w:rPr>
          <w:color w:val="auto"/>
          <w:sz w:val="24"/>
          <w:szCs w:val="24"/>
          <w:highlight w:val="none"/>
        </w:rPr>
      </w:pPr>
      <w:r>
        <w:rPr>
          <w:rFonts w:hint="eastAsia"/>
          <w:color w:val="auto"/>
          <w:sz w:val="24"/>
          <w:szCs w:val="24"/>
          <w:highlight w:val="none"/>
        </w:rPr>
        <w:t xml:space="preserve">项目名称: </w:t>
      </w:r>
    </w:p>
    <w:p>
      <w:pPr>
        <w:pStyle w:val="22"/>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p>
      <w:pPr>
        <w:pStyle w:val="22"/>
        <w:ind w:firstLine="6240" w:firstLineChars="2600"/>
        <w:rPr>
          <w:rFonts w:ascii="宋体" w:hAnsi="宋体"/>
          <w:color w:val="auto"/>
          <w:sz w:val="24"/>
          <w:highlight w:val="none"/>
        </w:rPr>
      </w:pPr>
    </w:p>
    <w:tbl>
      <w:tblPr>
        <w:tblStyle w:val="16"/>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76"/>
        <w:gridCol w:w="2205"/>
        <w:gridCol w:w="1406"/>
        <w:gridCol w:w="1343"/>
        <w:gridCol w:w="86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14" w:type="dxa"/>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合同包</w:t>
            </w:r>
          </w:p>
        </w:tc>
        <w:tc>
          <w:tcPr>
            <w:tcW w:w="876" w:type="dxa"/>
            <w:vAlign w:val="center"/>
          </w:tcPr>
          <w:p>
            <w:pPr>
              <w:pStyle w:val="9"/>
              <w:snapToGrid w:val="0"/>
              <w:ind w:left="-105" w:leftChars="-50" w:right="-105" w:rightChars="-50"/>
              <w:jc w:val="center"/>
              <w:rPr>
                <w:rFonts w:hAnsi="宋体"/>
                <w:b/>
                <w:color w:val="auto"/>
                <w:sz w:val="24"/>
                <w:highlight w:val="none"/>
              </w:rPr>
            </w:pPr>
            <w:r>
              <w:rPr>
                <w:rFonts w:hint="eastAsia" w:hAnsi="宋体" w:cs="宋体"/>
                <w:b/>
                <w:bCs/>
                <w:color w:val="auto"/>
                <w:sz w:val="24"/>
                <w:highlight w:val="none"/>
              </w:rPr>
              <w:t>品目号</w:t>
            </w:r>
          </w:p>
        </w:tc>
        <w:tc>
          <w:tcPr>
            <w:tcW w:w="2205" w:type="dxa"/>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竞价标的</w:t>
            </w:r>
          </w:p>
        </w:tc>
        <w:tc>
          <w:tcPr>
            <w:tcW w:w="1406" w:type="dxa"/>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品牌型号</w:t>
            </w:r>
          </w:p>
        </w:tc>
        <w:tc>
          <w:tcPr>
            <w:tcW w:w="1343" w:type="dxa"/>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单价</w:t>
            </w:r>
          </w:p>
        </w:tc>
        <w:tc>
          <w:tcPr>
            <w:tcW w:w="867" w:type="dxa"/>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数量</w:t>
            </w:r>
          </w:p>
        </w:tc>
        <w:tc>
          <w:tcPr>
            <w:tcW w:w="2006" w:type="dxa"/>
            <w:vAlign w:val="center"/>
          </w:tcPr>
          <w:p>
            <w:pPr>
              <w:pStyle w:val="9"/>
              <w:snapToGrid w:val="0"/>
              <w:ind w:left="-105" w:leftChars="-50" w:right="-105" w:rightChars="-50"/>
              <w:jc w:val="center"/>
              <w:rPr>
                <w:rFonts w:hAnsi="宋体"/>
                <w:b/>
                <w:color w:val="auto"/>
                <w:sz w:val="24"/>
                <w:highlight w:val="none"/>
              </w:rPr>
            </w:pPr>
            <w:r>
              <w:rPr>
                <w:rFonts w:hint="eastAsia" w:hAnsi="宋体"/>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814" w:type="dxa"/>
            <w:vMerge w:val="restart"/>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876" w:type="dxa"/>
            <w:vAlign w:val="bottom"/>
          </w:tcPr>
          <w:p>
            <w:pPr>
              <w:snapToGrid w:val="0"/>
              <w:spacing w:line="360" w:lineRule="auto"/>
              <w:jc w:val="center"/>
              <w:rPr>
                <w:rFonts w:ascii="宋体" w:hAnsi="宋体"/>
                <w:color w:val="auto"/>
                <w:sz w:val="24"/>
                <w:highlight w:val="none"/>
              </w:rPr>
            </w:pPr>
            <w:r>
              <w:rPr>
                <w:rFonts w:hint="eastAsia" w:ascii="宋体" w:hAnsi="宋体" w:cs="宋体"/>
                <w:color w:val="auto"/>
                <w:szCs w:val="21"/>
                <w:highlight w:val="none"/>
              </w:rPr>
              <w:t>1</w:t>
            </w:r>
            <w:r>
              <w:rPr>
                <w:rFonts w:hint="eastAsia" w:ascii="宋体" w:hAnsi="宋体"/>
                <w:color w:val="auto"/>
                <w:sz w:val="24"/>
                <w:highlight w:val="none"/>
              </w:rPr>
              <w:t>-1</w:t>
            </w:r>
          </w:p>
          <w:p>
            <w:pPr>
              <w:snapToGrid w:val="0"/>
              <w:spacing w:line="360" w:lineRule="auto"/>
              <w:jc w:val="center"/>
              <w:rPr>
                <w:rFonts w:ascii="宋体" w:hAnsi="宋体"/>
                <w:color w:val="auto"/>
                <w:sz w:val="24"/>
                <w:highlight w:val="none"/>
              </w:rPr>
            </w:pPr>
          </w:p>
        </w:tc>
        <w:tc>
          <w:tcPr>
            <w:tcW w:w="2205" w:type="dxa"/>
            <w:vAlign w:val="center"/>
          </w:tcPr>
          <w:p>
            <w:pPr>
              <w:snapToGrid w:val="0"/>
              <w:spacing w:line="360" w:lineRule="auto"/>
              <w:jc w:val="center"/>
              <w:rPr>
                <w:rFonts w:ascii="宋体" w:hAnsi="宋体"/>
                <w:color w:val="auto"/>
                <w:sz w:val="24"/>
                <w:highlight w:val="none"/>
              </w:rPr>
            </w:pPr>
          </w:p>
        </w:tc>
        <w:tc>
          <w:tcPr>
            <w:tcW w:w="1406" w:type="dxa"/>
            <w:vAlign w:val="center"/>
          </w:tcPr>
          <w:p>
            <w:pPr>
              <w:snapToGrid w:val="0"/>
              <w:spacing w:line="360" w:lineRule="auto"/>
              <w:jc w:val="center"/>
              <w:rPr>
                <w:rFonts w:ascii="宋体" w:hAnsi="宋体"/>
                <w:color w:val="auto"/>
                <w:sz w:val="24"/>
                <w:highlight w:val="none"/>
              </w:rPr>
            </w:pPr>
          </w:p>
        </w:tc>
        <w:tc>
          <w:tcPr>
            <w:tcW w:w="1343" w:type="dxa"/>
            <w:vAlign w:val="center"/>
          </w:tcPr>
          <w:p>
            <w:pPr>
              <w:snapToGrid w:val="0"/>
              <w:spacing w:line="360" w:lineRule="auto"/>
              <w:jc w:val="center"/>
              <w:rPr>
                <w:rFonts w:ascii="宋体" w:hAnsi="宋体"/>
                <w:color w:val="auto"/>
                <w:sz w:val="24"/>
                <w:highlight w:val="none"/>
              </w:rPr>
            </w:pPr>
          </w:p>
        </w:tc>
        <w:tc>
          <w:tcPr>
            <w:tcW w:w="867" w:type="dxa"/>
            <w:vAlign w:val="center"/>
          </w:tcPr>
          <w:p>
            <w:pPr>
              <w:snapToGrid w:val="0"/>
              <w:spacing w:line="360" w:lineRule="auto"/>
              <w:jc w:val="center"/>
              <w:rPr>
                <w:rFonts w:ascii="宋体" w:hAnsi="宋体"/>
                <w:color w:val="auto"/>
                <w:sz w:val="24"/>
                <w:highlight w:val="none"/>
              </w:rPr>
            </w:pPr>
          </w:p>
        </w:tc>
        <w:tc>
          <w:tcPr>
            <w:tcW w:w="2006" w:type="dxa"/>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814" w:type="dxa"/>
            <w:vMerge w:val="continue"/>
            <w:vAlign w:val="center"/>
          </w:tcPr>
          <w:p>
            <w:pPr>
              <w:snapToGrid w:val="0"/>
              <w:spacing w:line="360" w:lineRule="auto"/>
              <w:jc w:val="center"/>
              <w:rPr>
                <w:rFonts w:ascii="宋体" w:hAnsi="宋体"/>
                <w:color w:val="auto"/>
                <w:sz w:val="24"/>
                <w:highlight w:val="none"/>
              </w:rPr>
            </w:pPr>
          </w:p>
        </w:tc>
        <w:tc>
          <w:tcPr>
            <w:tcW w:w="876" w:type="dxa"/>
            <w:vAlign w:val="bottom"/>
          </w:tcPr>
          <w:p>
            <w:pPr>
              <w:snapToGrid w:val="0"/>
              <w:spacing w:line="360" w:lineRule="auto"/>
              <w:jc w:val="center"/>
              <w:rPr>
                <w:rFonts w:ascii="宋体" w:hAnsi="宋体"/>
                <w:color w:val="auto"/>
                <w:sz w:val="24"/>
                <w:highlight w:val="none"/>
              </w:rPr>
            </w:pPr>
            <w:r>
              <w:rPr>
                <w:rFonts w:hint="eastAsia" w:ascii="宋体" w:hAnsi="宋体" w:cs="宋体"/>
                <w:color w:val="auto"/>
                <w:szCs w:val="21"/>
                <w:highlight w:val="none"/>
              </w:rPr>
              <w:t>1</w:t>
            </w:r>
            <w:r>
              <w:rPr>
                <w:rFonts w:hint="eastAsia" w:ascii="宋体" w:hAnsi="宋体"/>
                <w:color w:val="auto"/>
                <w:sz w:val="24"/>
                <w:highlight w:val="none"/>
              </w:rPr>
              <w:t>-2</w:t>
            </w:r>
          </w:p>
          <w:p>
            <w:pPr>
              <w:snapToGrid w:val="0"/>
              <w:spacing w:line="360" w:lineRule="auto"/>
              <w:jc w:val="center"/>
              <w:rPr>
                <w:rFonts w:ascii="宋体" w:hAnsi="宋体"/>
                <w:color w:val="auto"/>
                <w:sz w:val="24"/>
                <w:highlight w:val="none"/>
              </w:rPr>
            </w:pPr>
          </w:p>
        </w:tc>
        <w:tc>
          <w:tcPr>
            <w:tcW w:w="2205" w:type="dxa"/>
            <w:vAlign w:val="center"/>
          </w:tcPr>
          <w:p>
            <w:pPr>
              <w:snapToGrid w:val="0"/>
              <w:spacing w:line="360" w:lineRule="auto"/>
              <w:jc w:val="center"/>
              <w:rPr>
                <w:rFonts w:ascii="宋体" w:hAnsi="宋体"/>
                <w:color w:val="auto"/>
                <w:sz w:val="24"/>
                <w:highlight w:val="none"/>
              </w:rPr>
            </w:pPr>
          </w:p>
        </w:tc>
        <w:tc>
          <w:tcPr>
            <w:tcW w:w="1406" w:type="dxa"/>
            <w:vAlign w:val="center"/>
          </w:tcPr>
          <w:p>
            <w:pPr>
              <w:snapToGrid w:val="0"/>
              <w:spacing w:line="360" w:lineRule="auto"/>
              <w:jc w:val="center"/>
              <w:rPr>
                <w:rFonts w:ascii="宋体" w:hAnsi="宋体"/>
                <w:color w:val="auto"/>
                <w:sz w:val="24"/>
                <w:highlight w:val="none"/>
              </w:rPr>
            </w:pPr>
          </w:p>
        </w:tc>
        <w:tc>
          <w:tcPr>
            <w:tcW w:w="1343" w:type="dxa"/>
            <w:vAlign w:val="center"/>
          </w:tcPr>
          <w:p>
            <w:pPr>
              <w:snapToGrid w:val="0"/>
              <w:spacing w:line="360" w:lineRule="auto"/>
              <w:jc w:val="center"/>
              <w:rPr>
                <w:rFonts w:ascii="宋体" w:hAnsi="宋体"/>
                <w:color w:val="auto"/>
                <w:sz w:val="24"/>
                <w:highlight w:val="none"/>
              </w:rPr>
            </w:pPr>
          </w:p>
        </w:tc>
        <w:tc>
          <w:tcPr>
            <w:tcW w:w="867" w:type="dxa"/>
            <w:vAlign w:val="center"/>
          </w:tcPr>
          <w:p>
            <w:pPr>
              <w:snapToGrid w:val="0"/>
              <w:spacing w:line="360" w:lineRule="auto"/>
              <w:jc w:val="center"/>
              <w:rPr>
                <w:rFonts w:ascii="宋体" w:hAnsi="宋体"/>
                <w:color w:val="auto"/>
                <w:sz w:val="24"/>
                <w:highlight w:val="none"/>
              </w:rPr>
            </w:pPr>
          </w:p>
        </w:tc>
        <w:tc>
          <w:tcPr>
            <w:tcW w:w="2006" w:type="dxa"/>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814" w:type="dxa"/>
            <w:vMerge w:val="continue"/>
            <w:vAlign w:val="center"/>
          </w:tcPr>
          <w:p>
            <w:pPr>
              <w:snapToGrid w:val="0"/>
              <w:spacing w:line="360" w:lineRule="auto"/>
              <w:jc w:val="center"/>
              <w:rPr>
                <w:rFonts w:ascii="宋体" w:hAnsi="宋体"/>
                <w:color w:val="auto"/>
                <w:sz w:val="24"/>
                <w:highlight w:val="none"/>
              </w:rPr>
            </w:pPr>
          </w:p>
        </w:tc>
        <w:tc>
          <w:tcPr>
            <w:tcW w:w="876" w:type="dxa"/>
            <w:vAlign w:val="bottom"/>
          </w:tcPr>
          <w:p>
            <w:pPr>
              <w:snapToGrid w:val="0"/>
              <w:spacing w:line="360" w:lineRule="auto"/>
              <w:jc w:val="center"/>
              <w:rPr>
                <w:rFonts w:ascii="宋体" w:hAnsi="宋体"/>
                <w:color w:val="auto"/>
                <w:sz w:val="24"/>
                <w:highlight w:val="none"/>
              </w:rPr>
            </w:pPr>
            <w:r>
              <w:rPr>
                <w:rFonts w:hint="eastAsia" w:ascii="宋体" w:hAnsi="宋体" w:cs="宋体"/>
                <w:color w:val="auto"/>
                <w:szCs w:val="21"/>
                <w:highlight w:val="none"/>
              </w:rPr>
              <w:t>1</w:t>
            </w:r>
            <w:r>
              <w:rPr>
                <w:rFonts w:hint="eastAsia" w:ascii="宋体" w:hAnsi="宋体"/>
                <w:color w:val="auto"/>
                <w:sz w:val="24"/>
                <w:highlight w:val="none"/>
              </w:rPr>
              <w:t>-3</w:t>
            </w:r>
          </w:p>
          <w:p>
            <w:pPr>
              <w:snapToGrid w:val="0"/>
              <w:spacing w:line="360" w:lineRule="auto"/>
              <w:jc w:val="center"/>
              <w:rPr>
                <w:rFonts w:ascii="宋体" w:hAnsi="宋体"/>
                <w:color w:val="auto"/>
                <w:sz w:val="24"/>
                <w:highlight w:val="none"/>
              </w:rPr>
            </w:pPr>
          </w:p>
        </w:tc>
        <w:tc>
          <w:tcPr>
            <w:tcW w:w="2205" w:type="dxa"/>
            <w:vAlign w:val="center"/>
          </w:tcPr>
          <w:p>
            <w:pPr>
              <w:snapToGrid w:val="0"/>
              <w:spacing w:line="360" w:lineRule="auto"/>
              <w:jc w:val="center"/>
              <w:rPr>
                <w:rFonts w:ascii="宋体" w:hAnsi="宋体"/>
                <w:color w:val="auto"/>
                <w:sz w:val="24"/>
                <w:highlight w:val="none"/>
              </w:rPr>
            </w:pPr>
          </w:p>
        </w:tc>
        <w:tc>
          <w:tcPr>
            <w:tcW w:w="1406" w:type="dxa"/>
            <w:vAlign w:val="center"/>
          </w:tcPr>
          <w:p>
            <w:pPr>
              <w:snapToGrid w:val="0"/>
              <w:spacing w:line="360" w:lineRule="auto"/>
              <w:jc w:val="center"/>
              <w:rPr>
                <w:rFonts w:ascii="宋体" w:hAnsi="宋体"/>
                <w:color w:val="auto"/>
                <w:sz w:val="24"/>
                <w:highlight w:val="none"/>
              </w:rPr>
            </w:pPr>
          </w:p>
        </w:tc>
        <w:tc>
          <w:tcPr>
            <w:tcW w:w="1343" w:type="dxa"/>
            <w:vAlign w:val="center"/>
          </w:tcPr>
          <w:p>
            <w:pPr>
              <w:snapToGrid w:val="0"/>
              <w:spacing w:line="360" w:lineRule="auto"/>
              <w:jc w:val="center"/>
              <w:rPr>
                <w:rFonts w:ascii="宋体" w:hAnsi="宋体"/>
                <w:color w:val="auto"/>
                <w:sz w:val="24"/>
                <w:highlight w:val="none"/>
              </w:rPr>
            </w:pPr>
          </w:p>
        </w:tc>
        <w:tc>
          <w:tcPr>
            <w:tcW w:w="867" w:type="dxa"/>
            <w:vAlign w:val="center"/>
          </w:tcPr>
          <w:p>
            <w:pPr>
              <w:snapToGrid w:val="0"/>
              <w:spacing w:line="360" w:lineRule="auto"/>
              <w:jc w:val="center"/>
              <w:rPr>
                <w:rFonts w:ascii="宋体" w:hAnsi="宋体"/>
                <w:color w:val="auto"/>
                <w:sz w:val="24"/>
                <w:highlight w:val="none"/>
              </w:rPr>
            </w:pPr>
          </w:p>
        </w:tc>
        <w:tc>
          <w:tcPr>
            <w:tcW w:w="2006" w:type="dxa"/>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9517" w:type="dxa"/>
            <w:gridSpan w:val="7"/>
            <w:vAlign w:val="center"/>
          </w:tcPr>
          <w:p>
            <w:pPr>
              <w:tabs>
                <w:tab w:val="left" w:pos="3433"/>
              </w:tabs>
              <w:snapToGrid w:val="0"/>
              <w:spacing w:line="360" w:lineRule="auto"/>
              <w:rPr>
                <w:rFonts w:ascii="宋体" w:hAnsi="宋体"/>
                <w:b/>
                <w:color w:val="auto"/>
                <w:kern w:val="0"/>
                <w:sz w:val="24"/>
                <w:highlight w:val="none"/>
              </w:rPr>
            </w:pPr>
            <w:r>
              <w:rPr>
                <w:rFonts w:hint="eastAsia" w:ascii="宋体" w:hAnsi="宋体"/>
                <w:b/>
                <w:color w:val="auto"/>
                <w:kern w:val="0"/>
                <w:sz w:val="24"/>
                <w:highlight w:val="none"/>
              </w:rPr>
              <w:t>竞价总价（小写金额）：</w:t>
            </w:r>
          </w:p>
          <w:p>
            <w:pPr>
              <w:tabs>
                <w:tab w:val="left" w:pos="3433"/>
              </w:tabs>
              <w:snapToGrid w:val="0"/>
              <w:spacing w:line="360" w:lineRule="auto"/>
              <w:rPr>
                <w:rFonts w:ascii="宋体" w:hAnsi="宋体"/>
                <w:color w:val="auto"/>
                <w:sz w:val="24"/>
                <w:highlight w:val="none"/>
              </w:rPr>
            </w:pPr>
            <w:r>
              <w:rPr>
                <w:rFonts w:hint="eastAsia" w:ascii="宋体" w:hAnsi="宋体"/>
                <w:b/>
                <w:color w:val="auto"/>
                <w:kern w:val="0"/>
                <w:sz w:val="24"/>
                <w:highlight w:val="none"/>
              </w:rPr>
              <w:t>竞价总价（大写金额）：</w:t>
            </w:r>
          </w:p>
        </w:tc>
      </w:tr>
    </w:tbl>
    <w:p>
      <w:pPr>
        <w:pStyle w:val="14"/>
        <w:spacing w:before="0" w:beforeAutospacing="0" w:after="0" w:afterAutospacing="0" w:line="460" w:lineRule="exact"/>
        <w:rPr>
          <w:color w:val="auto"/>
          <w:highlight w:val="none"/>
        </w:rPr>
      </w:pPr>
      <w:r>
        <w:rPr>
          <w:rFonts w:hint="eastAsia"/>
          <w:color w:val="auto"/>
          <w:highlight w:val="none"/>
        </w:rPr>
        <w:t>※注意：</w:t>
      </w:r>
    </w:p>
    <w:p>
      <w:pPr>
        <w:pStyle w:val="14"/>
        <w:spacing w:before="0" w:beforeAutospacing="0" w:after="0" w:afterAutospacing="0" w:line="460" w:lineRule="exact"/>
        <w:rPr>
          <w:color w:val="auto"/>
          <w:highlight w:val="none"/>
        </w:rPr>
      </w:pPr>
      <w:r>
        <w:rPr>
          <w:rFonts w:hint="eastAsia"/>
          <w:color w:val="auto"/>
          <w:highlight w:val="none"/>
        </w:rPr>
        <w:t>1、本表应按照下列规定填写：</w:t>
      </w:r>
    </w:p>
    <w:p>
      <w:pPr>
        <w:pStyle w:val="14"/>
        <w:spacing w:before="0" w:beforeAutospacing="0" w:after="0" w:afterAutospacing="0" w:line="460" w:lineRule="exact"/>
        <w:rPr>
          <w:color w:val="auto"/>
          <w:highlight w:val="none"/>
        </w:rPr>
      </w:pPr>
      <w:r>
        <w:rPr>
          <w:rFonts w:hint="eastAsia"/>
          <w:color w:val="auto"/>
          <w:highlight w:val="none"/>
        </w:rPr>
        <w:t>1.1竞价人应按照本表格式填写所投合同包的分项报价，其中：“合同包”、“品目号”、“采购标的”及“数量”应与网上竞价文件《采购标的一览表》中的有关内容（“合同包”、“品目号”、“采购标的”及“数量”）保持一致，以此类推。</w:t>
      </w:r>
    </w:p>
    <w:p>
      <w:pPr>
        <w:pStyle w:val="14"/>
        <w:spacing w:before="0" w:beforeAutospacing="0" w:after="0" w:afterAutospacing="0" w:line="460" w:lineRule="exact"/>
        <w:rPr>
          <w:color w:val="auto"/>
          <w:highlight w:val="none"/>
        </w:rPr>
      </w:pPr>
      <w:r>
        <w:rPr>
          <w:rFonts w:hint="eastAsia"/>
          <w:color w:val="auto"/>
          <w:highlight w:val="none"/>
        </w:rPr>
        <w:t>1.2同一合同包中，</w:t>
      </w:r>
      <w:r>
        <w:rPr>
          <w:rStyle w:val="18"/>
          <w:rFonts w:hint="eastAsia"/>
          <w:color w:val="auto"/>
          <w:highlight w:val="none"/>
        </w:rPr>
        <w:t>“单价（”</w:t>
      </w:r>
      <w:r>
        <w:rPr>
          <w:rFonts w:hint="eastAsia"/>
          <w:color w:val="auto"/>
          <w:highlight w:val="none"/>
        </w:rPr>
        <w:t>×</w:t>
      </w:r>
      <w:r>
        <w:rPr>
          <w:rStyle w:val="18"/>
          <w:rFonts w:hint="eastAsia"/>
          <w:color w:val="auto"/>
          <w:highlight w:val="none"/>
        </w:rPr>
        <w:t>“数量”</w:t>
      </w:r>
      <w:r>
        <w:rPr>
          <w:rFonts w:hint="eastAsia"/>
          <w:color w:val="auto"/>
          <w:highlight w:val="none"/>
        </w:rPr>
        <w:t>=</w:t>
      </w:r>
      <w:r>
        <w:rPr>
          <w:rStyle w:val="18"/>
          <w:rFonts w:hint="eastAsia"/>
          <w:color w:val="auto"/>
          <w:highlight w:val="none"/>
        </w:rPr>
        <w:t>“总价”</w:t>
      </w:r>
      <w:r>
        <w:rPr>
          <w:rFonts w:hint="eastAsia"/>
          <w:color w:val="auto"/>
          <w:highlight w:val="none"/>
        </w:rPr>
        <w:t>，全部品目号</w:t>
      </w:r>
      <w:r>
        <w:rPr>
          <w:rStyle w:val="18"/>
          <w:rFonts w:hint="eastAsia"/>
          <w:color w:val="auto"/>
          <w:highlight w:val="none"/>
        </w:rPr>
        <w:t>“总价”</w:t>
      </w:r>
      <w:r>
        <w:rPr>
          <w:rFonts w:hint="eastAsia"/>
          <w:color w:val="auto"/>
          <w:highlight w:val="none"/>
        </w:rPr>
        <w:t>的合计金额应与合同包列示的</w:t>
      </w:r>
      <w:r>
        <w:rPr>
          <w:rStyle w:val="18"/>
          <w:rFonts w:hint="eastAsia"/>
          <w:color w:val="auto"/>
          <w:highlight w:val="none"/>
        </w:rPr>
        <w:t>“竞价总价”</w:t>
      </w:r>
      <w:r>
        <w:rPr>
          <w:rFonts w:hint="eastAsia"/>
          <w:color w:val="auto"/>
          <w:highlight w:val="none"/>
        </w:rPr>
        <w:t>保持一致。</w:t>
      </w:r>
    </w:p>
    <w:p>
      <w:pPr>
        <w:pStyle w:val="14"/>
        <w:spacing w:before="0" w:beforeAutospacing="0" w:after="0" w:afterAutospacing="0" w:line="460" w:lineRule="exact"/>
        <w:rPr>
          <w:color w:val="auto"/>
          <w:highlight w:val="none"/>
        </w:rPr>
      </w:pPr>
      <w:r>
        <w:rPr>
          <w:rFonts w:hint="eastAsia"/>
          <w:color w:val="auto"/>
          <w:highlight w:val="none"/>
        </w:rPr>
        <w:t>1.3“大写金额”指“竞价报价”应用“壹、贰、叁、肆、伍、陆、柒、捌、玖、拾、佰、仟、万、亿、元、角、分、零”等进行填写。 </w:t>
      </w:r>
    </w:p>
    <w:p>
      <w:pPr>
        <w:pStyle w:val="14"/>
        <w:spacing w:before="0" w:beforeAutospacing="0" w:after="0" w:afterAutospacing="0" w:line="460" w:lineRule="exact"/>
        <w:rPr>
          <w:color w:val="auto"/>
          <w:highlight w:val="none"/>
        </w:rPr>
      </w:pP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竞价人（全称并加盖公章）：</w:t>
      </w: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竞价人代表签字：</w:t>
      </w:r>
    </w:p>
    <w:p>
      <w:pPr>
        <w:spacing w:line="460" w:lineRule="exact"/>
        <w:ind w:firstLine="3240" w:firstLineChars="1350"/>
        <w:jc w:val="left"/>
        <w:rPr>
          <w:rFonts w:ascii="宋体" w:hAnsi="宋体" w:cs="宋体"/>
          <w:b/>
          <w:color w:val="auto"/>
          <w:sz w:val="28"/>
          <w:szCs w:val="28"/>
          <w:highlight w:val="none"/>
        </w:rPr>
      </w:pPr>
      <w:r>
        <w:rPr>
          <w:rFonts w:hint="eastAsia" w:ascii="宋体" w:hAnsi="宋体" w:cs="宋体"/>
          <w:color w:val="auto"/>
          <w:sz w:val="24"/>
          <w:highlight w:val="none"/>
        </w:rPr>
        <w:t>日期：</w:t>
      </w:r>
    </w:p>
    <w:p>
      <w:pPr>
        <w:pStyle w:val="20"/>
        <w:rPr>
          <w:rFonts w:ascii="宋体" w:hAnsi="宋体" w:cs="宋体"/>
          <w:color w:val="auto"/>
          <w:sz w:val="24"/>
          <w:szCs w:val="24"/>
          <w:highlight w:val="none"/>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7B3E6"/>
    <w:multiLevelType w:val="singleLevel"/>
    <w:tmpl w:val="4827B3E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OTI0YTkyZjI2MTcwOWRlM2Y2NWU3YTJlOWQwMWEifQ=="/>
  </w:docVars>
  <w:rsids>
    <w:rsidRoot w:val="0092357E"/>
    <w:rsid w:val="00370544"/>
    <w:rsid w:val="009075E4"/>
    <w:rsid w:val="0092357E"/>
    <w:rsid w:val="00A34EB2"/>
    <w:rsid w:val="00A448A8"/>
    <w:rsid w:val="028D5405"/>
    <w:rsid w:val="02A570F8"/>
    <w:rsid w:val="032850FC"/>
    <w:rsid w:val="04502C00"/>
    <w:rsid w:val="07612A84"/>
    <w:rsid w:val="0A794D80"/>
    <w:rsid w:val="10192649"/>
    <w:rsid w:val="14F83997"/>
    <w:rsid w:val="178F2581"/>
    <w:rsid w:val="18C40C77"/>
    <w:rsid w:val="1A1D1135"/>
    <w:rsid w:val="1AD87A43"/>
    <w:rsid w:val="1BB71AC6"/>
    <w:rsid w:val="1D68716B"/>
    <w:rsid w:val="1D783113"/>
    <w:rsid w:val="1F32168E"/>
    <w:rsid w:val="215626EE"/>
    <w:rsid w:val="225549DB"/>
    <w:rsid w:val="22F04641"/>
    <w:rsid w:val="25A64D89"/>
    <w:rsid w:val="25F22E55"/>
    <w:rsid w:val="26792BAA"/>
    <w:rsid w:val="2A41271B"/>
    <w:rsid w:val="2D3B0D0E"/>
    <w:rsid w:val="2E0C3364"/>
    <w:rsid w:val="32A314EE"/>
    <w:rsid w:val="36262261"/>
    <w:rsid w:val="38C0337F"/>
    <w:rsid w:val="3C3A5E97"/>
    <w:rsid w:val="41856489"/>
    <w:rsid w:val="41CC419D"/>
    <w:rsid w:val="48500DF2"/>
    <w:rsid w:val="4988722B"/>
    <w:rsid w:val="4AC17735"/>
    <w:rsid w:val="521424E0"/>
    <w:rsid w:val="54A63942"/>
    <w:rsid w:val="59E554D9"/>
    <w:rsid w:val="5B9533F1"/>
    <w:rsid w:val="5C020A22"/>
    <w:rsid w:val="5D50753A"/>
    <w:rsid w:val="5D8817F9"/>
    <w:rsid w:val="5E767EDE"/>
    <w:rsid w:val="5F084A9F"/>
    <w:rsid w:val="60FD2BA2"/>
    <w:rsid w:val="64A70DF2"/>
    <w:rsid w:val="65FF5D35"/>
    <w:rsid w:val="667B1AFD"/>
    <w:rsid w:val="6CFA7CED"/>
    <w:rsid w:val="6D9F1278"/>
    <w:rsid w:val="737F43B9"/>
    <w:rsid w:val="747D7FB4"/>
    <w:rsid w:val="77300036"/>
    <w:rsid w:val="77ED253E"/>
    <w:rsid w:val="7A41775B"/>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3"/>
    <w:qFormat/>
    <w:uiPriority w:val="0"/>
    <w:pPr>
      <w:spacing w:beforeAutospacing="1" w:afterAutospacing="1"/>
      <w:jc w:val="left"/>
      <w:outlineLvl w:val="1"/>
    </w:pPr>
    <w:rPr>
      <w:rFonts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3">
    <w:name w:val="FC正文"/>
    <w:basedOn w:val="1"/>
    <w:qFormat/>
    <w:uiPriority w:val="0"/>
    <w:pPr>
      <w:snapToGrid w:val="0"/>
      <w:spacing w:beforeLines="50" w:afterLines="50" w:line="360" w:lineRule="auto"/>
      <w:ind w:firstLine="480" w:firstLineChars="200"/>
      <w:contextualSpacing/>
    </w:pPr>
    <w:rPr>
      <w:sz w:val="24"/>
    </w:rPr>
  </w:style>
  <w:style w:type="paragraph" w:styleId="5">
    <w:name w:val="Normal Indent"/>
    <w:basedOn w:val="1"/>
    <w:next w:val="6"/>
    <w:qFormat/>
    <w:uiPriority w:val="0"/>
    <w:pPr>
      <w:ind w:firstLine="420"/>
    </w:pPr>
    <w:rPr>
      <w:szCs w:val="20"/>
    </w:rPr>
  </w:style>
  <w:style w:type="paragraph" w:styleId="6">
    <w:name w:val="Body Text Indent"/>
    <w:basedOn w:val="1"/>
    <w:next w:val="5"/>
    <w:qFormat/>
    <w:uiPriority w:val="0"/>
    <w:pPr>
      <w:spacing w:after="120"/>
      <w:ind w:left="420" w:left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kern w:val="0"/>
      <w:sz w:val="20"/>
    </w:rPr>
  </w:style>
  <w:style w:type="paragraph" w:styleId="10">
    <w:name w:val="Balloon Text"/>
    <w:basedOn w:val="1"/>
    <w:next w:val="1"/>
    <w:qFormat/>
    <w:uiPriority w:val="0"/>
    <w:rPr>
      <w:rFonts w:eastAsia="Times New Roman"/>
      <w:sz w:val="18"/>
      <w:szCs w:val="18"/>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6"/>
    <w:qFormat/>
    <w:uiPriority w:val="99"/>
    <w:pPr>
      <w:tabs>
        <w:tab w:val="left" w:pos="4606"/>
      </w:tabs>
      <w:ind w:firstLine="420"/>
    </w:pPr>
  </w:style>
  <w:style w:type="character" w:styleId="18">
    <w:name w:val="Strong"/>
    <w:basedOn w:val="17"/>
    <w:qFormat/>
    <w:uiPriority w:val="0"/>
    <w:rPr>
      <w:b/>
      <w:bCs/>
    </w:rPr>
  </w:style>
  <w:style w:type="character" w:styleId="19">
    <w:name w:val="annotation reference"/>
    <w:basedOn w:val="17"/>
    <w:qFormat/>
    <w:uiPriority w:val="0"/>
    <w:rPr>
      <w:sz w:val="21"/>
      <w:szCs w:val="21"/>
    </w:rPr>
  </w:style>
  <w:style w:type="paragraph" w:customStyle="1" w:styleId="20">
    <w:name w:val="Fließtext"/>
    <w:basedOn w:val="1"/>
    <w:qFormat/>
    <w:uiPriority w:val="0"/>
    <w:pPr>
      <w:overflowPunct w:val="0"/>
      <w:autoSpaceDE w:val="0"/>
      <w:autoSpaceDN w:val="0"/>
      <w:adjustRightInd w:val="0"/>
      <w:textAlignment w:val="baseline"/>
    </w:pPr>
    <w:rPr>
      <w:kern w:val="28"/>
      <w:szCs w:val="20"/>
    </w:rPr>
  </w:style>
  <w:style w:type="character" w:customStyle="1" w:styleId="21">
    <w:name w:val="NormalCharacter"/>
    <w:semiHidden/>
    <w:qFormat/>
    <w:uiPriority w:val="0"/>
    <w:rPr>
      <w:kern w:val="2"/>
      <w:sz w:val="21"/>
      <w:szCs w:val="24"/>
      <w:lang w:val="en-US" w:eastAsia="zh-CN" w:bidi="ar-SA"/>
    </w:rPr>
  </w:style>
  <w:style w:type="paragraph" w:customStyle="1" w:styleId="22">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3"/>
    <w:basedOn w:val="9"/>
    <w:qFormat/>
    <w:uiPriority w:val="0"/>
    <w:pPr>
      <w:spacing w:line="0" w:lineRule="atLeast"/>
      <w:outlineLvl w:val="0"/>
    </w:pPr>
    <w:rPr>
      <w:sz w:val="28"/>
    </w:rPr>
  </w:style>
  <w:style w:type="character" w:customStyle="1" w:styleId="24">
    <w:name w:val="apple-converted-space"/>
    <w:qFormat/>
    <w:uiPriority w:val="0"/>
    <w:rPr>
      <w:rFonts w:ascii="Times New Roman" w:hAnsi="Times New Roman" w:eastAsia="宋体" w:cs="Times New Roman"/>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13328</Words>
  <Characters>14435</Characters>
  <Lines>123</Lines>
  <Paragraphs>34</Paragraphs>
  <TotalTime>20</TotalTime>
  <ScaleCrop>false</ScaleCrop>
  <LinksUpToDate>false</LinksUpToDate>
  <CharactersWithSpaces>15347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2022-06-28T08:09:00Z</dcterms:created>
  <dc:creator>Administrator</dc:creator>
  <cp:lastModifiedBy>Administrator</cp:lastModifiedBy>
  <cp:lastPrinted>2022-07-08T03:28:00Z</cp:lastPrinted>
  <dcterms:modified xsi:type="dcterms:W3CDTF">2022-07-08T07:19:14Z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DEC2155550B849359AB74F5B79BD501A</vt:lpwstr>
  </property>
</Properties>
</file>